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D020" w14:textId="77777777" w:rsidR="00884BB1" w:rsidRPr="00C21040" w:rsidRDefault="00884BB1">
      <w:pPr>
        <w:spacing w:after="26" w:line="256" w:lineRule="auto"/>
        <w:rPr>
          <w:rFonts w:ascii="Times New Roman" w:hAnsi="Times New Roman"/>
          <w:noProof w:val="0"/>
          <w:color w:val="000000"/>
          <w:sz w:val="24"/>
          <w:szCs w:val="24"/>
          <w:lang w:eastAsia="ro-RO"/>
        </w:rPr>
      </w:pPr>
    </w:p>
    <w:p w14:paraId="0618A21E" w14:textId="53FB6F93" w:rsidR="00E25540" w:rsidRPr="00C21040" w:rsidRDefault="009F3D4B">
      <w:pPr>
        <w:spacing w:after="26" w:line="256" w:lineRule="auto"/>
        <w:rPr>
          <w:rFonts w:ascii="Times New Roman" w:hAnsi="Times New Roman"/>
          <w:noProof w:val="0"/>
          <w:color w:val="000000"/>
          <w:sz w:val="24"/>
          <w:szCs w:val="24"/>
          <w:lang w:eastAsia="ro-RO"/>
        </w:rPr>
      </w:pPr>
      <w:r w:rsidRPr="00C21040">
        <w:rPr>
          <w:rFonts w:ascii="Times New Roman" w:hAnsi="Times New Roman"/>
          <w:noProof w:val="0"/>
          <w:color w:val="000000"/>
          <w:sz w:val="24"/>
          <w:szCs w:val="24"/>
          <w:lang w:eastAsia="ro-RO"/>
        </w:rPr>
        <w:t>Nr. ................/.............................202</w:t>
      </w:r>
      <w:r w:rsidR="006074DD" w:rsidRPr="00C21040">
        <w:rPr>
          <w:rFonts w:ascii="Times New Roman" w:hAnsi="Times New Roman"/>
          <w:noProof w:val="0"/>
          <w:color w:val="000000"/>
          <w:sz w:val="24"/>
          <w:szCs w:val="24"/>
          <w:lang w:eastAsia="ro-RO"/>
        </w:rPr>
        <w:t>3</w:t>
      </w:r>
    </w:p>
    <w:p w14:paraId="7A0FFF55" w14:textId="77777777" w:rsidR="00E25540" w:rsidRPr="00C21040" w:rsidRDefault="00E25540">
      <w:pPr>
        <w:spacing w:after="26" w:line="256" w:lineRule="auto"/>
        <w:rPr>
          <w:rFonts w:ascii="Times New Roman" w:hAnsi="Times New Roman"/>
          <w:noProof w:val="0"/>
          <w:color w:val="000000"/>
          <w:sz w:val="24"/>
          <w:szCs w:val="24"/>
          <w:lang w:eastAsia="ro-RO"/>
        </w:rPr>
      </w:pPr>
    </w:p>
    <w:p w14:paraId="6E65042A" w14:textId="77777777" w:rsidR="00352FE9" w:rsidRPr="00C21040" w:rsidRDefault="00352FE9">
      <w:pPr>
        <w:keepNext/>
        <w:keepLines/>
        <w:spacing w:after="0" w:line="256" w:lineRule="auto"/>
        <w:outlineLvl w:val="0"/>
        <w:rPr>
          <w:rFonts w:ascii="Times New Roman" w:hAnsi="Times New Roman"/>
          <w:b/>
          <w:noProof w:val="0"/>
          <w:color w:val="000000"/>
          <w:sz w:val="24"/>
          <w:szCs w:val="24"/>
          <w:lang w:eastAsia="ro-RO"/>
        </w:rPr>
      </w:pPr>
    </w:p>
    <w:p w14:paraId="3769F632" w14:textId="77777777" w:rsidR="00E25540" w:rsidRPr="00C21040" w:rsidRDefault="009F3D4B" w:rsidP="00563181">
      <w:pPr>
        <w:keepNext/>
        <w:keepLines/>
        <w:spacing w:after="0"/>
        <w:ind w:left="705" w:hanging="10"/>
        <w:jc w:val="center"/>
        <w:outlineLvl w:val="0"/>
        <w:rPr>
          <w:rFonts w:ascii="Times New Roman" w:hAnsi="Times New Roman"/>
          <w:b/>
          <w:noProof w:val="0"/>
          <w:color w:val="000000"/>
          <w:sz w:val="24"/>
          <w:szCs w:val="24"/>
          <w:lang w:eastAsia="ro-RO"/>
        </w:rPr>
      </w:pPr>
      <w:r w:rsidRPr="00C21040">
        <w:rPr>
          <w:rFonts w:ascii="Times New Roman" w:hAnsi="Times New Roman"/>
          <w:b/>
          <w:noProof w:val="0"/>
          <w:color w:val="000000"/>
          <w:sz w:val="24"/>
          <w:szCs w:val="24"/>
          <w:lang w:eastAsia="ro-RO"/>
        </w:rPr>
        <w:t xml:space="preserve">REFERAT DE APROBARE </w:t>
      </w:r>
    </w:p>
    <w:p w14:paraId="1F985DA7" w14:textId="77777777" w:rsidR="006074DD" w:rsidRPr="00C21040" w:rsidRDefault="00F87C42" w:rsidP="006074DD">
      <w:pPr>
        <w:spacing w:after="11"/>
        <w:ind w:right="3"/>
        <w:jc w:val="center"/>
        <w:rPr>
          <w:rFonts w:ascii="Times New Roman" w:hAnsi="Times New Roman"/>
          <w:sz w:val="24"/>
          <w:szCs w:val="24"/>
        </w:rPr>
      </w:pPr>
      <w:r w:rsidRPr="00C21040">
        <w:rPr>
          <w:rFonts w:ascii="Times New Roman" w:hAnsi="Times New Roman"/>
          <w:sz w:val="24"/>
          <w:szCs w:val="24"/>
          <w:lang w:eastAsia="ro-RO"/>
        </w:rPr>
        <w:t xml:space="preserve">a </w:t>
      </w:r>
      <w:bookmarkStart w:id="0" w:name="_Hlk93314139"/>
      <w:r w:rsidRPr="00C21040">
        <w:rPr>
          <w:rFonts w:ascii="Times New Roman" w:hAnsi="Times New Roman"/>
          <w:sz w:val="24"/>
          <w:szCs w:val="24"/>
          <w:lang w:eastAsia="ro-RO"/>
        </w:rPr>
        <w:t>Ghidului de finanțare</w:t>
      </w:r>
      <w:r w:rsidR="00151427" w:rsidRPr="00C21040">
        <w:rPr>
          <w:rFonts w:ascii="Times New Roman" w:hAnsi="Times New Roman"/>
          <w:sz w:val="24"/>
          <w:szCs w:val="24"/>
        </w:rPr>
        <w:t xml:space="preserve"> </w:t>
      </w:r>
      <w:bookmarkEnd w:id="0"/>
    </w:p>
    <w:p w14:paraId="5C6B48A9" w14:textId="72AE30F0" w:rsidR="00E25540" w:rsidRPr="00C21040" w:rsidRDefault="006074DD" w:rsidP="006074DD">
      <w:pPr>
        <w:spacing w:after="11"/>
        <w:ind w:right="3"/>
        <w:jc w:val="center"/>
        <w:rPr>
          <w:rFonts w:ascii="Times New Roman" w:hAnsi="Times New Roman"/>
          <w:sz w:val="24"/>
          <w:szCs w:val="24"/>
          <w:lang w:eastAsia="ro-RO"/>
        </w:rPr>
      </w:pPr>
      <w:r w:rsidRPr="00C21040">
        <w:rPr>
          <w:rFonts w:ascii="Times New Roman" w:hAnsi="Times New Roman"/>
          <w:sz w:val="24"/>
          <w:szCs w:val="24"/>
          <w:lang w:eastAsia="ro-RO"/>
        </w:rPr>
        <w:t>a Programului vizând sisteme de alimentare cu apă, canalizare şi epurare a apelor uzate</w:t>
      </w:r>
    </w:p>
    <w:p w14:paraId="099B59A8" w14:textId="77777777" w:rsidR="00352FE9" w:rsidRPr="00C21040" w:rsidRDefault="00352FE9" w:rsidP="00563181">
      <w:pPr>
        <w:spacing w:after="11"/>
        <w:ind w:right="3"/>
        <w:jc w:val="both"/>
        <w:rPr>
          <w:rFonts w:ascii="Times New Roman" w:hAnsi="Times New Roman"/>
          <w:b/>
          <w:i/>
          <w:sz w:val="24"/>
          <w:szCs w:val="24"/>
        </w:rPr>
      </w:pPr>
    </w:p>
    <w:p w14:paraId="1ACF5BFB" w14:textId="06B85D0F" w:rsidR="00E25540" w:rsidRPr="00A74639" w:rsidRDefault="009F3D4B" w:rsidP="00C21040">
      <w:pPr>
        <w:spacing w:after="11"/>
        <w:ind w:right="3" w:firstLine="709"/>
        <w:jc w:val="both"/>
        <w:rPr>
          <w:rFonts w:ascii="Times New Roman" w:hAnsi="Times New Roman"/>
          <w:b/>
          <w:bCs/>
          <w:i/>
          <w:sz w:val="24"/>
          <w:szCs w:val="24"/>
        </w:rPr>
      </w:pPr>
      <w:r w:rsidRPr="00C21040">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w:t>
      </w:r>
      <w:r w:rsidRPr="00A74639">
        <w:rPr>
          <w:rFonts w:ascii="Times New Roman" w:hAnsi="Times New Roman"/>
          <w:bCs/>
          <w:sz w:val="24"/>
          <w:szCs w:val="24"/>
        </w:rPr>
        <w:t>e și completările ulterioare, reprezentând instrumentul de prezentare și motivare a</w:t>
      </w:r>
      <w:r w:rsidRPr="00A74639">
        <w:rPr>
          <w:rFonts w:ascii="Times New Roman" w:hAnsi="Times New Roman"/>
          <w:b/>
          <w:bCs/>
          <w:i/>
          <w:sz w:val="24"/>
          <w:szCs w:val="24"/>
        </w:rPr>
        <w:t xml:space="preserve"> proiectului de ordin pentru </w:t>
      </w:r>
      <w:r w:rsidR="00F87C42" w:rsidRPr="00A74639">
        <w:rPr>
          <w:rFonts w:ascii="Times New Roman" w:hAnsi="Times New Roman"/>
          <w:b/>
          <w:bCs/>
          <w:i/>
          <w:sz w:val="24"/>
          <w:szCs w:val="24"/>
        </w:rPr>
        <w:t xml:space="preserve">aprobarea </w:t>
      </w:r>
      <w:r w:rsidR="00151427" w:rsidRPr="00A74639">
        <w:rPr>
          <w:rFonts w:ascii="Times New Roman" w:hAnsi="Times New Roman"/>
          <w:b/>
          <w:bCs/>
          <w:i/>
          <w:sz w:val="24"/>
          <w:szCs w:val="24"/>
        </w:rPr>
        <w:t xml:space="preserve">Ghidului de finanțare </w:t>
      </w:r>
      <w:r w:rsidR="00C21040" w:rsidRPr="00A74639">
        <w:rPr>
          <w:rFonts w:ascii="Times New Roman" w:hAnsi="Times New Roman"/>
          <w:b/>
          <w:bCs/>
          <w:i/>
          <w:sz w:val="24"/>
          <w:szCs w:val="24"/>
        </w:rPr>
        <w:t>a Programului vizând sisteme de alimentare cu apă, canalizare şi epurare a apelor uzate</w:t>
      </w:r>
      <w:r w:rsidR="00151427" w:rsidRPr="00A74639">
        <w:rPr>
          <w:rFonts w:ascii="Times New Roman" w:hAnsi="Times New Roman"/>
          <w:b/>
          <w:bCs/>
          <w:i/>
          <w:sz w:val="24"/>
          <w:szCs w:val="24"/>
        </w:rPr>
        <w:t>.</w:t>
      </w:r>
    </w:p>
    <w:p w14:paraId="200864D5" w14:textId="192E0ABA" w:rsidR="00E25540" w:rsidRPr="00C21040" w:rsidRDefault="009F3D4B" w:rsidP="00563181">
      <w:pPr>
        <w:pStyle w:val="NoSpacing"/>
        <w:spacing w:line="276" w:lineRule="auto"/>
        <w:ind w:firstLine="708"/>
        <w:jc w:val="both"/>
        <w:rPr>
          <w:rFonts w:ascii="Times New Roman" w:hAnsi="Times New Roman"/>
          <w:noProof w:val="0"/>
          <w:sz w:val="24"/>
          <w:szCs w:val="24"/>
          <w:lang w:eastAsia="ro-RO"/>
        </w:rPr>
      </w:pPr>
      <w:r w:rsidRPr="00A74639">
        <w:rPr>
          <w:rFonts w:ascii="Times New Roman" w:hAnsi="Times New Roman"/>
          <w:b/>
          <w:noProof w:val="0"/>
          <w:sz w:val="24"/>
          <w:szCs w:val="24"/>
          <w:lang w:eastAsia="ro-RO"/>
        </w:rPr>
        <w:t>Baza legală a proiectului de ordin supus aprobării</w:t>
      </w:r>
      <w:r w:rsidRPr="00A74639">
        <w:rPr>
          <w:rFonts w:ascii="Times New Roman" w:hAnsi="Times New Roman"/>
          <w:noProof w:val="0"/>
          <w:sz w:val="24"/>
          <w:szCs w:val="24"/>
          <w:lang w:eastAsia="ro-RO"/>
        </w:rPr>
        <w:t xml:space="preserve"> o constituie prevederile</w:t>
      </w:r>
      <w:r w:rsidRPr="00C21040">
        <w:rPr>
          <w:rFonts w:ascii="Times New Roman" w:hAnsi="Times New Roman"/>
          <w:noProof w:val="0"/>
          <w:sz w:val="24"/>
          <w:szCs w:val="24"/>
          <w:lang w:eastAsia="ro-RO"/>
        </w:rPr>
        <w:t xml:space="preserve"> art. 13 alin. (4) din Ordonanţa de urgenţă a Guvernului nr. 196/2005 privind Fondul pentru mediu, aprobată cu modificări şi completări prin Legea nr. 105/2006, cu modificările şi completările ulterioare. Potrivit art. 13 alin. (4) din actul normativ menționat, ”</w:t>
      </w:r>
      <w:r w:rsidR="00C21040" w:rsidRPr="00C21040">
        <w:rPr>
          <w:rFonts w:ascii="Times New Roman" w:hAnsi="Times New Roman"/>
          <w:sz w:val="24"/>
          <w:szCs w:val="24"/>
        </w:rPr>
        <w:t xml:space="preserve"> </w:t>
      </w:r>
      <w:r w:rsidR="00C21040" w:rsidRPr="00C21040">
        <w:rPr>
          <w:rFonts w:ascii="Times New Roman" w:hAnsi="Times New Roman"/>
          <w:i/>
          <w:noProof w:val="0"/>
          <w:sz w:val="24"/>
          <w:szCs w:val="24"/>
          <w:lang w:eastAsia="ro-RO"/>
        </w:rPr>
        <w:t>Condiţiile de finanţare a proiectelor şi/sau programelor pentru protecţia mediului prevăzute la alin. (1) lit. a)-l), n), q)-s), u), w) -y), cc), dd) şi ff) se stabilesc prin ghidul de finanţare aferent fiecărui program sau proiect, care se elaborează de Administraţia Fondului pentru Mediu şi se aprobă prin ordin al conducătorului autorităţii publice centrale pentru protecţia mediului</w:t>
      </w:r>
      <w:r w:rsidRPr="00C21040">
        <w:rPr>
          <w:rFonts w:ascii="Times New Roman" w:hAnsi="Times New Roman"/>
          <w:noProof w:val="0"/>
          <w:sz w:val="24"/>
          <w:szCs w:val="24"/>
          <w:lang w:eastAsia="ro-RO"/>
        </w:rPr>
        <w:t xml:space="preserve">.” </w:t>
      </w:r>
    </w:p>
    <w:p w14:paraId="30CEFD42" w14:textId="77777777" w:rsidR="00C21040" w:rsidRDefault="00C21040" w:rsidP="006074DD">
      <w:pPr>
        <w:spacing w:after="0" w:line="240" w:lineRule="auto"/>
        <w:jc w:val="both"/>
        <w:rPr>
          <w:rFonts w:ascii="Times New Roman" w:hAnsi="Times New Roman"/>
          <w:i/>
          <w:iCs/>
          <w:sz w:val="24"/>
          <w:szCs w:val="24"/>
        </w:rPr>
      </w:pPr>
    </w:p>
    <w:p w14:paraId="37F84713" w14:textId="0FD6ABFD" w:rsidR="006074DD" w:rsidRPr="006074DD" w:rsidRDefault="006074DD" w:rsidP="00C21040">
      <w:pPr>
        <w:spacing w:after="0" w:line="240" w:lineRule="auto"/>
        <w:ind w:firstLine="708"/>
        <w:jc w:val="both"/>
        <w:rPr>
          <w:rFonts w:ascii="Times New Roman" w:hAnsi="Times New Roman"/>
          <w:sz w:val="24"/>
          <w:szCs w:val="24"/>
        </w:rPr>
      </w:pPr>
      <w:r w:rsidRPr="006074DD">
        <w:rPr>
          <w:rFonts w:ascii="Times New Roman" w:hAnsi="Times New Roman"/>
          <w:i/>
          <w:iCs/>
          <w:sz w:val="24"/>
          <w:szCs w:val="24"/>
        </w:rPr>
        <w:t>Obiectul programului</w:t>
      </w:r>
      <w:r w:rsidRPr="006074DD">
        <w:rPr>
          <w:rFonts w:ascii="Times New Roman" w:hAnsi="Times New Roman"/>
          <w:sz w:val="24"/>
          <w:szCs w:val="24"/>
        </w:rPr>
        <w:t xml:space="preserve"> îl reprezintă finanţarea din Fondul pentru mediu a proiectelor ce vizează protecţia resurselor de apă, sisteme de alimentare cu apă, canalizare şi epurare a apelor uzate menajere.</w:t>
      </w:r>
    </w:p>
    <w:p w14:paraId="4ACB7CD8" w14:textId="77777777" w:rsidR="006074DD" w:rsidRPr="006074DD" w:rsidRDefault="006074DD" w:rsidP="00C21040">
      <w:pPr>
        <w:spacing w:after="0" w:line="240" w:lineRule="auto"/>
        <w:ind w:firstLine="708"/>
        <w:jc w:val="both"/>
        <w:rPr>
          <w:rFonts w:ascii="Times New Roman" w:hAnsi="Times New Roman"/>
          <w:i/>
          <w:iCs/>
          <w:sz w:val="24"/>
          <w:szCs w:val="24"/>
        </w:rPr>
      </w:pPr>
      <w:r w:rsidRPr="006074DD">
        <w:rPr>
          <w:rFonts w:ascii="Times New Roman" w:hAnsi="Times New Roman"/>
          <w:i/>
          <w:iCs/>
          <w:sz w:val="24"/>
          <w:szCs w:val="24"/>
        </w:rPr>
        <w:t xml:space="preserve">Scopul programului îl constituie: </w:t>
      </w:r>
    </w:p>
    <w:p w14:paraId="7B81353E"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a) protejarea şi îmbunătăţirea calităţii mediului înconjurător;</w:t>
      </w:r>
    </w:p>
    <w:p w14:paraId="26E4965E"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b) creşterea numărului de persoane racordate/branșate la o reţea de canalizare/alimentare cu apă.</w:t>
      </w:r>
    </w:p>
    <w:p w14:paraId="27463042" w14:textId="77777777" w:rsidR="006074DD" w:rsidRPr="006074DD" w:rsidRDefault="006074DD" w:rsidP="00C21040">
      <w:pPr>
        <w:spacing w:after="0" w:line="240" w:lineRule="auto"/>
        <w:ind w:firstLine="708"/>
        <w:jc w:val="both"/>
        <w:rPr>
          <w:rFonts w:ascii="Times New Roman" w:hAnsi="Times New Roman"/>
          <w:i/>
          <w:iCs/>
          <w:sz w:val="24"/>
          <w:szCs w:val="24"/>
        </w:rPr>
      </w:pPr>
      <w:r w:rsidRPr="006074DD">
        <w:rPr>
          <w:rFonts w:ascii="Times New Roman" w:hAnsi="Times New Roman"/>
          <w:i/>
          <w:iCs/>
          <w:sz w:val="24"/>
          <w:szCs w:val="24"/>
        </w:rPr>
        <w:t>Indicatorii de performanţă ai programului sunt:</w:t>
      </w:r>
    </w:p>
    <w:p w14:paraId="4AB62CEB"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a) lungimea rețelelor de alimentare cu apă nou înființate/extinse/modernizate;</w:t>
      </w:r>
    </w:p>
    <w:p w14:paraId="49E5FE26"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b) lungimea rețelelor de canalizare nou înființate/extinse/modernizate;</w:t>
      </w:r>
    </w:p>
    <w:p w14:paraId="1753DC49"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c) numărul de locuitori care vor beneficia de sisteme de alimentare cu apă/sisteme de canalizare, conform regelementărilor legale în vigoare;</w:t>
      </w:r>
    </w:p>
    <w:p w14:paraId="0736A641"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d) nivelul de branșare/racordare a populației din zona deservită de sistemul de alimentare cu apă/sistemul de canalizare.</w:t>
      </w:r>
    </w:p>
    <w:p w14:paraId="21ECB89E" w14:textId="77777777" w:rsidR="006074DD" w:rsidRPr="006074DD" w:rsidRDefault="006074DD" w:rsidP="00C21040">
      <w:pPr>
        <w:spacing w:after="0" w:line="240" w:lineRule="auto"/>
        <w:ind w:firstLine="708"/>
        <w:jc w:val="both"/>
        <w:rPr>
          <w:rFonts w:ascii="Times New Roman" w:hAnsi="Times New Roman"/>
          <w:sz w:val="24"/>
          <w:szCs w:val="24"/>
        </w:rPr>
      </w:pPr>
      <w:r w:rsidRPr="006074DD">
        <w:rPr>
          <w:rFonts w:ascii="Times New Roman" w:hAnsi="Times New Roman"/>
          <w:i/>
          <w:iCs/>
          <w:sz w:val="24"/>
          <w:szCs w:val="24"/>
        </w:rPr>
        <w:t>Finanţarea programului</w:t>
      </w:r>
      <w:r w:rsidRPr="006074DD">
        <w:rPr>
          <w:rFonts w:ascii="Times New Roman" w:hAnsi="Times New Roman"/>
          <w:sz w:val="24"/>
          <w:szCs w:val="24"/>
        </w:rPr>
        <w:t xml:space="preserve"> se realizează din Fondul pentru mediu, în limita creditelor de angajament şi bugetare prevăzute prin bugetul anual al Fondului pentru mediu, aprobat conform legii.</w:t>
      </w:r>
    </w:p>
    <w:p w14:paraId="3994274B" w14:textId="1FEB16AD" w:rsidR="006074DD" w:rsidRPr="006074DD" w:rsidRDefault="006074DD" w:rsidP="00C21040">
      <w:pPr>
        <w:spacing w:after="0" w:line="240" w:lineRule="auto"/>
        <w:ind w:firstLine="708"/>
        <w:jc w:val="both"/>
        <w:rPr>
          <w:rFonts w:ascii="Times New Roman" w:hAnsi="Times New Roman"/>
          <w:sz w:val="24"/>
          <w:szCs w:val="24"/>
        </w:rPr>
      </w:pPr>
      <w:r w:rsidRPr="006074DD">
        <w:rPr>
          <w:rFonts w:ascii="Times New Roman" w:hAnsi="Times New Roman"/>
          <w:sz w:val="24"/>
          <w:szCs w:val="24"/>
        </w:rPr>
        <w:t xml:space="preserve">Finanţarea se acordă în procent de maximum 100% din cheltuielile eligibile, în limita sumelor ce pot fi acordate pentru fiecare categorie de solicitanţi, aşa cum sunt prevăzute </w:t>
      </w:r>
      <w:r w:rsidR="00C21040">
        <w:rPr>
          <w:rFonts w:ascii="Times New Roman" w:hAnsi="Times New Roman"/>
          <w:sz w:val="24"/>
          <w:szCs w:val="24"/>
        </w:rPr>
        <w:t>în ghidul de finanțare</w:t>
      </w:r>
      <w:r w:rsidR="00A74639">
        <w:rPr>
          <w:rFonts w:ascii="Times New Roman" w:hAnsi="Times New Roman"/>
          <w:sz w:val="24"/>
          <w:szCs w:val="24"/>
        </w:rPr>
        <w:t>.</w:t>
      </w:r>
    </w:p>
    <w:p w14:paraId="03B43607" w14:textId="1BAA344D" w:rsidR="006074DD" w:rsidRPr="006074DD" w:rsidRDefault="006074DD" w:rsidP="00C21040">
      <w:pPr>
        <w:spacing w:after="0" w:line="240" w:lineRule="auto"/>
        <w:ind w:firstLine="708"/>
        <w:jc w:val="both"/>
        <w:rPr>
          <w:rFonts w:ascii="Times New Roman" w:hAnsi="Times New Roman"/>
          <w:sz w:val="24"/>
          <w:szCs w:val="24"/>
        </w:rPr>
      </w:pPr>
      <w:r w:rsidRPr="006074DD">
        <w:rPr>
          <w:rFonts w:ascii="Times New Roman" w:hAnsi="Times New Roman"/>
          <w:sz w:val="24"/>
          <w:szCs w:val="24"/>
        </w:rPr>
        <w:t>Se finanțează tipurile de investiții care vizează:</w:t>
      </w:r>
    </w:p>
    <w:p w14:paraId="33894C7D"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a) înființarea sistemelor de alimentare cu apă;</w:t>
      </w:r>
    </w:p>
    <w:p w14:paraId="354815C0"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b) înființarea sistemelor de canalizare;</w:t>
      </w:r>
    </w:p>
    <w:p w14:paraId="29774563"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c) extinderea sistemelor de alimentare cu apă existente;</w:t>
      </w:r>
    </w:p>
    <w:p w14:paraId="5FADAA40"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d) extinderea sistemelor de canalizare existente;</w:t>
      </w:r>
    </w:p>
    <w:p w14:paraId="24693770"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e) modernizarea sistemelor de alimentare cu apă existente;</w:t>
      </w:r>
    </w:p>
    <w:p w14:paraId="73808386"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f) modernizarea sistemelor de canalizare existente.</w:t>
      </w:r>
    </w:p>
    <w:p w14:paraId="52436224" w14:textId="77777777" w:rsidR="00C21040" w:rsidRDefault="00C21040" w:rsidP="006074DD">
      <w:pPr>
        <w:spacing w:after="0" w:line="240" w:lineRule="auto"/>
        <w:jc w:val="both"/>
        <w:rPr>
          <w:rFonts w:ascii="Times New Roman" w:hAnsi="Times New Roman"/>
          <w:sz w:val="24"/>
          <w:szCs w:val="24"/>
        </w:rPr>
      </w:pPr>
    </w:p>
    <w:p w14:paraId="4181F079" w14:textId="77777777" w:rsidR="00A74639" w:rsidRDefault="00A74639" w:rsidP="006074DD">
      <w:pPr>
        <w:spacing w:after="0" w:line="240" w:lineRule="auto"/>
        <w:jc w:val="both"/>
        <w:rPr>
          <w:rFonts w:ascii="Times New Roman" w:hAnsi="Times New Roman"/>
          <w:sz w:val="24"/>
          <w:szCs w:val="24"/>
        </w:rPr>
      </w:pPr>
    </w:p>
    <w:p w14:paraId="7BF54200" w14:textId="77777777" w:rsidR="00A74639" w:rsidRDefault="00A74639" w:rsidP="006074DD">
      <w:pPr>
        <w:spacing w:after="0" w:line="240" w:lineRule="auto"/>
        <w:jc w:val="both"/>
        <w:rPr>
          <w:rFonts w:ascii="Times New Roman" w:hAnsi="Times New Roman"/>
          <w:sz w:val="24"/>
          <w:szCs w:val="24"/>
        </w:rPr>
      </w:pPr>
    </w:p>
    <w:p w14:paraId="021257E1" w14:textId="77777777" w:rsidR="00A74639" w:rsidRDefault="00A74639" w:rsidP="006074DD">
      <w:pPr>
        <w:spacing w:after="0" w:line="240" w:lineRule="auto"/>
        <w:jc w:val="both"/>
        <w:rPr>
          <w:rFonts w:ascii="Times New Roman" w:hAnsi="Times New Roman"/>
          <w:sz w:val="24"/>
          <w:szCs w:val="24"/>
        </w:rPr>
      </w:pPr>
    </w:p>
    <w:p w14:paraId="2442A298" w14:textId="6F9C17A1" w:rsidR="006074DD" w:rsidRPr="006074DD" w:rsidRDefault="006074DD" w:rsidP="00C21040">
      <w:pPr>
        <w:spacing w:after="0" w:line="240" w:lineRule="auto"/>
        <w:ind w:firstLine="708"/>
        <w:jc w:val="both"/>
        <w:rPr>
          <w:rFonts w:ascii="Times New Roman" w:hAnsi="Times New Roman"/>
          <w:sz w:val="24"/>
          <w:szCs w:val="24"/>
        </w:rPr>
      </w:pPr>
      <w:r w:rsidRPr="006074DD">
        <w:rPr>
          <w:rFonts w:ascii="Times New Roman" w:hAnsi="Times New Roman"/>
          <w:sz w:val="24"/>
          <w:szCs w:val="24"/>
        </w:rPr>
        <w:t>Finanţarea se acordă în funcţie de categoria unităţii administrativ-teritoriale din care face parte solicitantul, după cum urmează:</w:t>
      </w:r>
    </w:p>
    <w:p w14:paraId="2B645EE3"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a) pentru UAT cu o populație mai mică de 5.000 de locuitori: 12.000.000 lei cu TVA;</w:t>
      </w:r>
    </w:p>
    <w:p w14:paraId="4498F0BF"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b) pentru UAT cu o populație cuprinsă între 5.001– 10.000 de locuitori: 20.000.000 lei cu TVA;</w:t>
      </w:r>
    </w:p>
    <w:p w14:paraId="3A58B7C3"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c) pentru UAT cu o populație mai mare de 10.000 de locuitori: 30.000.000 lei cu TVA.</w:t>
      </w:r>
    </w:p>
    <w:p w14:paraId="08E85598" w14:textId="668DEBBE" w:rsidR="006074DD" w:rsidRPr="006074DD" w:rsidRDefault="006074DD" w:rsidP="00C21040">
      <w:pPr>
        <w:spacing w:after="0" w:line="240" w:lineRule="auto"/>
        <w:ind w:firstLine="708"/>
        <w:jc w:val="both"/>
        <w:rPr>
          <w:rFonts w:ascii="Times New Roman" w:hAnsi="Times New Roman"/>
          <w:sz w:val="24"/>
          <w:szCs w:val="24"/>
        </w:rPr>
      </w:pPr>
      <w:r w:rsidRPr="006074DD">
        <w:rPr>
          <w:rFonts w:ascii="Times New Roman" w:hAnsi="Times New Roman"/>
          <w:sz w:val="24"/>
          <w:szCs w:val="24"/>
        </w:rPr>
        <w:t xml:space="preserve">Sub rezerva îndeplinirii cumulative a criteriilor de eligibilitate prevăzute </w:t>
      </w:r>
      <w:r w:rsidR="00C21040">
        <w:rPr>
          <w:rFonts w:ascii="Times New Roman" w:hAnsi="Times New Roman"/>
          <w:sz w:val="24"/>
          <w:szCs w:val="24"/>
        </w:rPr>
        <w:t>în ghidul de finanțare</w:t>
      </w:r>
      <w:r w:rsidRPr="006074DD">
        <w:rPr>
          <w:rFonts w:ascii="Times New Roman" w:hAnsi="Times New Roman"/>
          <w:sz w:val="24"/>
          <w:szCs w:val="24"/>
        </w:rPr>
        <w:t>, sunt eligibile pentru a participa în cadrul programului unitățile administrativ-teritoriale și subdiviziunile administrativ-teritoriale  ale municipiului București, astfel cum sunt definite în Ordonanţa de urgenţă a Guvernului nr. 57/2019 privind Codul administrativ, cu modificările şi completările ulterioare.</w:t>
      </w:r>
    </w:p>
    <w:p w14:paraId="2B7DAB66" w14:textId="77777777" w:rsidR="006074DD" w:rsidRPr="006074DD" w:rsidRDefault="006074DD" w:rsidP="00C21040">
      <w:pPr>
        <w:spacing w:after="0" w:line="240" w:lineRule="auto"/>
        <w:ind w:firstLine="708"/>
        <w:jc w:val="both"/>
        <w:rPr>
          <w:rFonts w:ascii="Times New Roman" w:hAnsi="Times New Roman"/>
          <w:i/>
          <w:iCs/>
          <w:sz w:val="24"/>
          <w:szCs w:val="24"/>
        </w:rPr>
      </w:pPr>
      <w:r w:rsidRPr="006074DD">
        <w:rPr>
          <w:rFonts w:ascii="Times New Roman" w:hAnsi="Times New Roman"/>
          <w:i/>
          <w:iCs/>
          <w:sz w:val="24"/>
          <w:szCs w:val="24"/>
        </w:rPr>
        <w:t>Este eligibil solicitantul care îndeplineşte cumulativ următoarele criterii:</w:t>
      </w:r>
    </w:p>
    <w:p w14:paraId="0F2529FF"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a) acţionează în nume propriu;</w:t>
      </w:r>
    </w:p>
    <w:p w14:paraId="1FC8C91F"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b) nu a fost condamnat pentru infracţiuni împotriva mediului, prin hotărâre judecătorească definitivă;</w:t>
      </w:r>
    </w:p>
    <w:p w14:paraId="74D8678D"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c) și-a îndeplinit obligaţiile de plată a taxelor, impozitelor şi amenzilor către bugetul de stat, bugetele locale, bugetul Fondului pentru mediu, conform prevederilor legale în vigoare;</w:t>
      </w:r>
    </w:p>
    <w:p w14:paraId="2D097C64"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d) nu a obţinut şi nu este pe cale să obţină finanţare prin proiecte ori programe finanţate din alte fonduri publice, inclusiv fonduri comunitare, pentru realizarea investiţiei care urmează a fi realizată prin program;</w:t>
      </w:r>
    </w:p>
    <w:p w14:paraId="5FF5DF05"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e) nu se află în procedură de criză financiară, executare silită sau oricare altă procedură similară.</w:t>
      </w:r>
    </w:p>
    <w:p w14:paraId="3364803B" w14:textId="77777777" w:rsidR="006074DD" w:rsidRPr="006074DD" w:rsidRDefault="006074DD" w:rsidP="00C21040">
      <w:pPr>
        <w:spacing w:after="0" w:line="240" w:lineRule="auto"/>
        <w:ind w:firstLine="708"/>
        <w:jc w:val="both"/>
        <w:rPr>
          <w:rFonts w:ascii="Times New Roman" w:hAnsi="Times New Roman"/>
          <w:i/>
          <w:iCs/>
          <w:sz w:val="24"/>
          <w:szCs w:val="24"/>
        </w:rPr>
      </w:pPr>
      <w:r w:rsidRPr="006074DD">
        <w:rPr>
          <w:rFonts w:ascii="Times New Roman" w:hAnsi="Times New Roman"/>
          <w:i/>
          <w:iCs/>
          <w:sz w:val="24"/>
          <w:szCs w:val="24"/>
        </w:rPr>
        <w:t>Este eligibil proiectul care îndeplineşte cumulativ următoarele criterii:</w:t>
      </w:r>
    </w:p>
    <w:p w14:paraId="31981600"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a) studiul de fezabilitate este elaborat potrivit prevederilor Hotărârii Guvernului nr. 907/2016 privind etapele de elaborare şi conţinutul-cadru al documentaţiilor tehnico-economice aferente obiectivelor/ proiectelor de investiţii finanţate din fonduri publice, cu modificările şi completările ulterioare, precum şi a structurii şi metodologiei de elaborare a devizului general pentru obiective de investiţii şi lucrări de intervenţii;</w:t>
      </w:r>
    </w:p>
    <w:p w14:paraId="3290CB2D" w14:textId="3D06F46C"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b) costurile proiectului sunt detaliate pe fiecare categorie de cheltuială;</w:t>
      </w:r>
    </w:p>
    <w:p w14:paraId="77CF5AA1" w14:textId="11E84E1B"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c) evidenţiază tipul investiţiei în studiul de fezabilitate şi devizul general;</w:t>
      </w:r>
    </w:p>
    <w:p w14:paraId="68D4D828" w14:textId="300C5CFC"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d) presupune realizarea uneia sau mai multor componente ale sistemului de canalizare/alimentare cu apă; nu sunt eligibile proiectele care presupun numai cheltuieli cu branșamente/racorduri;</w:t>
      </w:r>
    </w:p>
    <w:p w14:paraId="48757888" w14:textId="77777777" w:rsidR="006074DD" w:rsidRPr="006074DD" w:rsidRDefault="006074DD" w:rsidP="006074DD">
      <w:pPr>
        <w:spacing w:after="0" w:line="240" w:lineRule="auto"/>
        <w:jc w:val="both"/>
        <w:rPr>
          <w:rFonts w:ascii="Times New Roman" w:hAnsi="Times New Roman"/>
          <w:sz w:val="24"/>
          <w:szCs w:val="24"/>
        </w:rPr>
      </w:pPr>
      <w:r w:rsidRPr="006074DD">
        <w:rPr>
          <w:rFonts w:ascii="Times New Roman" w:hAnsi="Times New Roman"/>
          <w:sz w:val="24"/>
          <w:szCs w:val="24"/>
        </w:rPr>
        <w:t>e) proiectele care presupun înființare/extindere de sisteme de alimentare cu apă și/sau canalizare vor cuprinde, obligatoriu, branșamente/racorduri.</w:t>
      </w:r>
    </w:p>
    <w:p w14:paraId="79AE0676" w14:textId="77777777" w:rsidR="00962E6E" w:rsidRPr="00C21040" w:rsidRDefault="00962E6E" w:rsidP="0003236F">
      <w:pPr>
        <w:pStyle w:val="NoSpacing"/>
        <w:jc w:val="both"/>
        <w:rPr>
          <w:rFonts w:ascii="Times New Roman" w:hAnsi="Times New Roman"/>
          <w:sz w:val="24"/>
          <w:szCs w:val="24"/>
        </w:rPr>
      </w:pPr>
    </w:p>
    <w:p w14:paraId="77037573" w14:textId="1085F23F" w:rsidR="00E25540" w:rsidRPr="00C21040" w:rsidRDefault="00B42387" w:rsidP="00563181">
      <w:pPr>
        <w:pStyle w:val="NoSpacing"/>
        <w:spacing w:line="276" w:lineRule="auto"/>
        <w:ind w:firstLine="720"/>
        <w:jc w:val="both"/>
        <w:rPr>
          <w:rFonts w:ascii="Times New Roman" w:hAnsi="Times New Roman"/>
          <w:sz w:val="24"/>
          <w:szCs w:val="24"/>
          <w:lang w:val="pt-BR"/>
        </w:rPr>
      </w:pPr>
      <w:r w:rsidRPr="00C21040">
        <w:rPr>
          <w:rFonts w:ascii="Times New Roman" w:hAnsi="Times New Roman"/>
          <w:sz w:val="24"/>
          <w:szCs w:val="24"/>
        </w:rPr>
        <w:t>P</w:t>
      </w:r>
      <w:r w:rsidR="009F3D4B" w:rsidRPr="00C21040">
        <w:rPr>
          <w:rFonts w:ascii="Times New Roman" w:hAnsi="Times New Roman"/>
          <w:sz w:val="24"/>
          <w:szCs w:val="24"/>
        </w:rPr>
        <w:t xml:space="preserve">roiectul </w:t>
      </w:r>
      <w:r w:rsidR="00434547" w:rsidRPr="00C21040">
        <w:rPr>
          <w:rFonts w:ascii="Times New Roman" w:hAnsi="Times New Roman"/>
          <w:sz w:val="24"/>
          <w:szCs w:val="24"/>
        </w:rPr>
        <w:t>Ghidului de finanțare</w:t>
      </w:r>
      <w:r w:rsidR="00FF521C" w:rsidRPr="00C21040">
        <w:rPr>
          <w:rFonts w:ascii="Times New Roman" w:hAnsi="Times New Roman"/>
          <w:sz w:val="24"/>
          <w:szCs w:val="24"/>
        </w:rPr>
        <w:t>, astfel cum îl înaintăm,</w:t>
      </w:r>
      <w:r w:rsidR="009F3D4B" w:rsidRPr="00C21040">
        <w:rPr>
          <w:rFonts w:ascii="Times New Roman" w:hAnsi="Times New Roman"/>
          <w:sz w:val="24"/>
          <w:szCs w:val="24"/>
        </w:rPr>
        <w:t xml:space="preserve"> a fost avizat în ședinț</w:t>
      </w:r>
      <w:r w:rsidR="00962E6E" w:rsidRPr="00C21040">
        <w:rPr>
          <w:rFonts w:ascii="Times New Roman" w:hAnsi="Times New Roman"/>
          <w:sz w:val="24"/>
          <w:szCs w:val="24"/>
        </w:rPr>
        <w:t>a</w:t>
      </w:r>
      <w:r w:rsidR="009F3D4B" w:rsidRPr="00C21040">
        <w:rPr>
          <w:rFonts w:ascii="Times New Roman" w:hAnsi="Times New Roman"/>
          <w:sz w:val="24"/>
          <w:szCs w:val="24"/>
        </w:rPr>
        <w:t xml:space="preserve"> Comitetului Director </w:t>
      </w:r>
      <w:r w:rsidR="00DA3BDE" w:rsidRPr="00C21040">
        <w:rPr>
          <w:rFonts w:ascii="Times New Roman" w:hAnsi="Times New Roman"/>
          <w:sz w:val="24"/>
          <w:szCs w:val="24"/>
        </w:rPr>
        <w:t xml:space="preserve">al AFM </w:t>
      </w:r>
      <w:r w:rsidR="009F3D4B" w:rsidRPr="00C21040">
        <w:rPr>
          <w:rFonts w:ascii="Times New Roman" w:hAnsi="Times New Roman"/>
          <w:sz w:val="24"/>
          <w:szCs w:val="24"/>
        </w:rPr>
        <w:t xml:space="preserve">din </w:t>
      </w:r>
      <w:r w:rsidR="00A74639">
        <w:rPr>
          <w:rFonts w:ascii="Times New Roman" w:hAnsi="Times New Roman"/>
          <w:sz w:val="24"/>
          <w:szCs w:val="24"/>
        </w:rPr>
        <w:t>28.06.2023</w:t>
      </w:r>
      <w:r w:rsidR="007B4CD1" w:rsidRPr="00C21040">
        <w:rPr>
          <w:rFonts w:ascii="Times New Roman" w:hAnsi="Times New Roman"/>
          <w:sz w:val="24"/>
          <w:szCs w:val="24"/>
        </w:rPr>
        <w:t>.</w:t>
      </w:r>
    </w:p>
    <w:p w14:paraId="5ABDC718" w14:textId="77777777" w:rsidR="00E25540" w:rsidRPr="00C21040" w:rsidRDefault="00E25540" w:rsidP="00563181">
      <w:pPr>
        <w:pStyle w:val="NoSpacing"/>
        <w:spacing w:line="276" w:lineRule="auto"/>
        <w:ind w:firstLine="708"/>
        <w:jc w:val="both"/>
        <w:rPr>
          <w:rFonts w:ascii="Times New Roman" w:hAnsi="Times New Roman"/>
          <w:sz w:val="24"/>
          <w:szCs w:val="24"/>
        </w:rPr>
      </w:pPr>
    </w:p>
    <w:p w14:paraId="36BFD3EE" w14:textId="74E9A09C" w:rsidR="00E25540" w:rsidRPr="00C21040" w:rsidRDefault="009F3D4B" w:rsidP="00563181">
      <w:pPr>
        <w:pStyle w:val="NoSpacing"/>
        <w:spacing w:line="276" w:lineRule="auto"/>
        <w:ind w:firstLine="708"/>
        <w:jc w:val="both"/>
        <w:rPr>
          <w:rFonts w:ascii="Times New Roman" w:hAnsi="Times New Roman"/>
          <w:sz w:val="24"/>
          <w:szCs w:val="24"/>
        </w:rPr>
      </w:pPr>
      <w:r w:rsidRPr="00C21040">
        <w:rPr>
          <w:rFonts w:ascii="Times New Roman" w:hAnsi="Times New Roman"/>
          <w:sz w:val="24"/>
          <w:szCs w:val="24"/>
        </w:rPr>
        <w:t xml:space="preserve">Pentru </w:t>
      </w:r>
      <w:r w:rsidRPr="00C21040">
        <w:rPr>
          <w:rFonts w:ascii="Times New Roman" w:hAnsi="Times New Roman"/>
          <w:bCs/>
          <w:sz w:val="24"/>
          <w:szCs w:val="24"/>
        </w:rPr>
        <w:t>motivele invocate</w:t>
      </w:r>
      <w:r w:rsidRPr="00C21040">
        <w:rPr>
          <w:rFonts w:ascii="Times New Roman" w:hAnsi="Times New Roman"/>
          <w:sz w:val="24"/>
          <w:szCs w:val="24"/>
        </w:rPr>
        <w:t xml:space="preserve">, vă transmitem alăturat, în vederea avizării și aprobării, </w:t>
      </w:r>
      <w:r w:rsidRPr="00C21040">
        <w:rPr>
          <w:rFonts w:ascii="Times New Roman" w:hAnsi="Times New Roman"/>
          <w:b/>
          <w:i/>
          <w:sz w:val="24"/>
          <w:szCs w:val="24"/>
        </w:rPr>
        <w:t xml:space="preserve">proiectul de ordin </w:t>
      </w:r>
      <w:r w:rsidRPr="00A74639">
        <w:rPr>
          <w:rFonts w:ascii="Times New Roman" w:hAnsi="Times New Roman"/>
          <w:b/>
          <w:i/>
          <w:sz w:val="24"/>
          <w:szCs w:val="24"/>
        </w:rPr>
        <w:t xml:space="preserve">pentru </w:t>
      </w:r>
      <w:r w:rsidR="00BA6552" w:rsidRPr="00A74639">
        <w:rPr>
          <w:rFonts w:ascii="Times New Roman" w:hAnsi="Times New Roman"/>
          <w:b/>
          <w:bCs/>
          <w:i/>
          <w:sz w:val="24"/>
          <w:szCs w:val="24"/>
        </w:rPr>
        <w:t xml:space="preserve">aprobarea </w:t>
      </w:r>
      <w:r w:rsidR="008314F0" w:rsidRPr="00A74639">
        <w:rPr>
          <w:rFonts w:ascii="Times New Roman" w:hAnsi="Times New Roman"/>
          <w:b/>
          <w:bCs/>
          <w:i/>
          <w:sz w:val="24"/>
          <w:szCs w:val="24"/>
        </w:rPr>
        <w:t xml:space="preserve">Ghidului de finanțare a Programului </w:t>
      </w:r>
      <w:r w:rsidR="00A74639" w:rsidRPr="00A74639">
        <w:rPr>
          <w:rFonts w:ascii="Times New Roman" w:hAnsi="Times New Roman"/>
          <w:b/>
          <w:bCs/>
          <w:i/>
          <w:sz w:val="24"/>
          <w:szCs w:val="24"/>
        </w:rPr>
        <w:t>vizând sisteme de alimentare cu apă, canalizare şi epurare a apelor uzate.</w:t>
      </w:r>
    </w:p>
    <w:p w14:paraId="1545EBF6" w14:textId="77777777" w:rsidR="001D3A54" w:rsidRPr="00C21040" w:rsidRDefault="001D3A54" w:rsidP="007D0889">
      <w:pPr>
        <w:tabs>
          <w:tab w:val="left" w:pos="915"/>
        </w:tabs>
        <w:spacing w:after="0"/>
        <w:rPr>
          <w:rFonts w:ascii="Times New Roman" w:eastAsia="Calibri" w:hAnsi="Times New Roman"/>
          <w:b/>
          <w:sz w:val="24"/>
          <w:szCs w:val="24"/>
        </w:rPr>
      </w:pPr>
    </w:p>
    <w:p w14:paraId="783223A7" w14:textId="23E4A2CA" w:rsidR="00E25540" w:rsidRPr="00C21040" w:rsidRDefault="009F3D4B">
      <w:pPr>
        <w:tabs>
          <w:tab w:val="left" w:pos="915"/>
        </w:tabs>
        <w:spacing w:after="0"/>
        <w:jc w:val="center"/>
        <w:rPr>
          <w:rFonts w:ascii="Times New Roman" w:eastAsia="Calibri" w:hAnsi="Times New Roman"/>
          <w:sz w:val="24"/>
          <w:szCs w:val="24"/>
        </w:rPr>
      </w:pPr>
      <w:r w:rsidRPr="00C21040">
        <w:rPr>
          <w:rFonts w:ascii="Times New Roman" w:eastAsia="Calibri" w:hAnsi="Times New Roman"/>
          <w:b/>
          <w:sz w:val="24"/>
          <w:szCs w:val="24"/>
        </w:rPr>
        <w:t>PREȘEDINTE,</w:t>
      </w:r>
    </w:p>
    <w:p w14:paraId="5D0B476C" w14:textId="361CD9FA" w:rsidR="00E25540" w:rsidRPr="00A74639" w:rsidRDefault="00A74639" w:rsidP="00CC27DC">
      <w:pPr>
        <w:tabs>
          <w:tab w:val="left" w:pos="720"/>
          <w:tab w:val="left" w:pos="1005"/>
          <w:tab w:val="center" w:pos="5032"/>
        </w:tabs>
        <w:spacing w:after="0"/>
        <w:jc w:val="center"/>
        <w:rPr>
          <w:rFonts w:ascii="Times New Roman" w:eastAsia="Calibri" w:hAnsi="Times New Roman"/>
          <w:b/>
          <w:sz w:val="24"/>
          <w:szCs w:val="24"/>
        </w:rPr>
      </w:pPr>
      <w:r w:rsidRPr="00A74639">
        <w:rPr>
          <w:rFonts w:ascii="Times New Roman" w:eastAsia="Calibri" w:hAnsi="Times New Roman"/>
          <w:b/>
          <w:sz w:val="24"/>
          <w:szCs w:val="24"/>
        </w:rPr>
        <w:t>Laurențiu Adrian NECULAESCU</w:t>
      </w:r>
    </w:p>
    <w:p w14:paraId="44C5CB5B" w14:textId="77777777" w:rsidR="002B59E3" w:rsidRPr="00A74639" w:rsidRDefault="002B59E3" w:rsidP="00CC27DC">
      <w:pPr>
        <w:tabs>
          <w:tab w:val="left" w:pos="720"/>
          <w:tab w:val="left" w:pos="1005"/>
          <w:tab w:val="center" w:pos="5032"/>
        </w:tabs>
        <w:spacing w:after="0"/>
        <w:jc w:val="center"/>
        <w:rPr>
          <w:rFonts w:ascii="Times New Roman" w:eastAsia="Calibri" w:hAnsi="Times New Roman"/>
          <w:b/>
          <w:sz w:val="24"/>
          <w:szCs w:val="24"/>
        </w:rPr>
      </w:pPr>
    </w:p>
    <w:p w14:paraId="27B11BE3" w14:textId="77777777" w:rsidR="007D0889" w:rsidRPr="00FA4B10" w:rsidRDefault="009F3D4B">
      <w:pPr>
        <w:spacing w:after="0"/>
        <w:rPr>
          <w:rFonts w:ascii="Times New Roman" w:eastAsia="Calibri" w:hAnsi="Times New Roman"/>
          <w:sz w:val="24"/>
          <w:szCs w:val="24"/>
        </w:rPr>
      </w:pPr>
      <w:r w:rsidRPr="00A74639">
        <w:rPr>
          <w:rFonts w:ascii="Times New Roman" w:eastAsia="Calibri" w:hAnsi="Times New Roman"/>
          <w:sz w:val="24"/>
          <w:szCs w:val="24"/>
        </w:rPr>
        <w:tab/>
      </w:r>
    </w:p>
    <w:p w14:paraId="383F0E91" w14:textId="207275EC" w:rsidR="00A74639" w:rsidRPr="00BF5D6F" w:rsidRDefault="007D0889" w:rsidP="007D0889">
      <w:pPr>
        <w:tabs>
          <w:tab w:val="center" w:pos="4536"/>
          <w:tab w:val="right" w:pos="9072"/>
        </w:tabs>
        <w:spacing w:after="0" w:line="240" w:lineRule="auto"/>
        <w:rPr>
          <w:rFonts w:ascii="Times New Roman" w:eastAsia="Calibri" w:hAnsi="Times New Roman"/>
          <w:bCs/>
          <w:color w:val="FFFFFF" w:themeColor="background1"/>
          <w:sz w:val="24"/>
          <w:szCs w:val="24"/>
        </w:rPr>
      </w:pPr>
      <w:bookmarkStart w:id="1" w:name="_Hlk138945574"/>
      <w:r w:rsidRPr="00BF5D6F">
        <w:rPr>
          <w:rFonts w:ascii="Times New Roman" w:hAnsi="Times New Roman"/>
          <w:bCs/>
          <w:color w:val="FFFFFF" w:themeColor="background1"/>
          <w:sz w:val="24"/>
          <w:szCs w:val="24"/>
        </w:rPr>
        <w:t xml:space="preserve">                                                                                                                                </w:t>
      </w:r>
      <w:r w:rsidRPr="00BF5D6F">
        <w:rPr>
          <w:rFonts w:ascii="Times New Roman" w:hAnsi="Times New Roman"/>
          <w:bCs/>
          <w:color w:val="FFFFFF" w:themeColor="background1"/>
          <w:sz w:val="24"/>
          <w:szCs w:val="24"/>
        </w:rPr>
        <w:tab/>
        <w:t xml:space="preserve">  Sandra Tănase</w:t>
      </w:r>
      <w:bookmarkEnd w:id="1"/>
    </w:p>
    <w:sectPr w:rsidR="00A74639" w:rsidRPr="00BF5D6F" w:rsidSect="00563181">
      <w:headerReference w:type="even" r:id="rId8"/>
      <w:headerReference w:type="default" r:id="rId9"/>
      <w:footerReference w:type="even" r:id="rId10"/>
      <w:footerReference w:type="default" r:id="rId11"/>
      <w:headerReference w:type="first" r:id="rId12"/>
      <w:footerReference w:type="first" r:id="rId13"/>
      <w:pgSz w:w="11906" w:h="16838"/>
      <w:pgMar w:top="1985" w:right="991"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C479" w14:textId="77777777" w:rsidR="00D60F77" w:rsidRDefault="00D60F77">
      <w:pPr>
        <w:spacing w:after="0" w:line="240" w:lineRule="auto"/>
      </w:pPr>
      <w:r>
        <w:separator/>
      </w:r>
    </w:p>
  </w:endnote>
  <w:endnote w:type="continuationSeparator" w:id="0">
    <w:p w14:paraId="01065CC0" w14:textId="77777777" w:rsidR="00D60F77" w:rsidRDefault="00D6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463F" w14:textId="77777777" w:rsidR="00346C4F" w:rsidRDefault="00346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4451" w14:textId="77777777" w:rsidR="00E25540" w:rsidRDefault="009F3D4B">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4E0E8255" wp14:editId="1DAADDD5">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3F68A3DA" w14:textId="77777777" w:rsidR="00E25540" w:rsidRDefault="00000000">
    <w:pPr>
      <w:spacing w:after="0"/>
      <w:jc w:val="center"/>
      <w:rPr>
        <w:rFonts w:ascii="Trebuchet MS" w:hAnsi="Trebuchet MS"/>
        <w:color w:val="404040"/>
        <w:sz w:val="18"/>
        <w:szCs w:val="18"/>
      </w:rPr>
    </w:pPr>
    <w:hyperlink r:id="rId1" w:history="1">
      <w:r w:rsidR="009F3D4B">
        <w:rPr>
          <w:rStyle w:val="Hyperlink"/>
          <w:rFonts w:ascii="Trebuchet MS" w:hAnsi="Trebuchet MS"/>
          <w:color w:val="404040"/>
          <w:sz w:val="18"/>
          <w:szCs w:val="18"/>
          <w:u w:val="none"/>
        </w:rPr>
        <w:t>www.afm.ro</w:t>
      </w:r>
    </w:hyperlink>
  </w:p>
  <w:p w14:paraId="2C62C687" w14:textId="77777777" w:rsidR="00E25540" w:rsidRDefault="00E25540">
    <w:pPr>
      <w:pStyle w:val="Footer"/>
    </w:pPr>
  </w:p>
  <w:p w14:paraId="6466E4D5" w14:textId="77777777" w:rsidR="00E25540" w:rsidRDefault="00E25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C90C" w14:textId="77777777" w:rsidR="00346C4F" w:rsidRDefault="0034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E271" w14:textId="77777777" w:rsidR="00D60F77" w:rsidRDefault="00D60F77">
      <w:pPr>
        <w:spacing w:after="0" w:line="240" w:lineRule="auto"/>
      </w:pPr>
      <w:r>
        <w:separator/>
      </w:r>
    </w:p>
  </w:footnote>
  <w:footnote w:type="continuationSeparator" w:id="0">
    <w:p w14:paraId="6E230709" w14:textId="77777777" w:rsidR="00D60F77" w:rsidRDefault="00D60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95DB" w14:textId="705A2964" w:rsidR="00346C4F" w:rsidRDefault="00000000">
    <w:pPr>
      <w:pStyle w:val="Header"/>
    </w:pPr>
    <w:r>
      <w:rPr>
        <w:noProof/>
      </w:rPr>
      <w:pict w14:anchorId="2DE2C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2" o:spid="_x0000_s1026" type="#_x0000_t136" style="position:absolute;margin-left:0;margin-top:0;width:510.6pt;height:218.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1DEE" w14:textId="28504BDD" w:rsidR="00E25540" w:rsidRDefault="00000000">
    <w:pPr>
      <w:pStyle w:val="Header"/>
      <w:ind w:left="-851"/>
    </w:pPr>
    <w:r>
      <w:rPr>
        <w:noProof/>
      </w:rPr>
      <w:pict w14:anchorId="7C642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3" o:spid="_x0000_s1027" type="#_x0000_t136" style="position:absolute;left:0;text-align:left;margin-left:0;margin-top:0;width:510.6pt;height:218.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9F3D4B">
      <w:rPr>
        <w:rFonts w:ascii="Times New Roman" w:hAnsi="Times New Roman"/>
        <w:b/>
        <w:noProof/>
        <w:sz w:val="28"/>
        <w:szCs w:val="28"/>
        <w:lang w:eastAsia="ro-RO"/>
      </w:rPr>
      <w:drawing>
        <wp:anchor distT="0" distB="0" distL="114300" distR="114300" simplePos="0" relativeHeight="251664384" behindDoc="1" locked="0" layoutInCell="1" allowOverlap="1" wp14:anchorId="142D38B5" wp14:editId="25E53C3E">
          <wp:simplePos x="0" y="0"/>
          <wp:positionH relativeFrom="column">
            <wp:posOffset>4819460</wp:posOffset>
          </wp:positionH>
          <wp:positionV relativeFrom="paragraph">
            <wp:posOffset>-97790</wp:posOffset>
          </wp:positionV>
          <wp:extent cx="1113155" cy="793115"/>
          <wp:effectExtent l="0" t="0" r="0" b="6985"/>
          <wp:wrapNone/>
          <wp:docPr id="6" name="Picture 6"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D4B">
      <w:rPr>
        <w:noProof/>
        <w:lang w:eastAsia="ro-RO"/>
      </w:rPr>
      <w:drawing>
        <wp:anchor distT="0" distB="0" distL="114300" distR="114300" simplePos="0" relativeHeight="251661312" behindDoc="0" locked="0" layoutInCell="1" allowOverlap="1" wp14:anchorId="6644CABF" wp14:editId="7822F260">
          <wp:simplePos x="0" y="0"/>
          <wp:positionH relativeFrom="column">
            <wp:posOffset>-338455</wp:posOffset>
          </wp:positionH>
          <wp:positionV relativeFrom="paragraph">
            <wp:posOffset>-102870</wp:posOffset>
          </wp:positionV>
          <wp:extent cx="866775" cy="866775"/>
          <wp:effectExtent l="0" t="0" r="9525" b="9525"/>
          <wp:wrapNone/>
          <wp:docPr id="8" name="Picture 8"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24AEA50" w14:textId="77777777" w:rsidR="00E25540" w:rsidRDefault="009F3D4B">
    <w:pPr>
      <w:pStyle w:val="Header"/>
      <w:ind w:left="-851"/>
    </w:pPr>
    <w:r>
      <w:rPr>
        <w:rFonts w:ascii="Trajan Pro" w:hAnsi="Trajan Pro" w:cs="Times New Roman"/>
        <w:sz w:val="20"/>
        <w:szCs w:val="20"/>
      </w:rPr>
      <w:t xml:space="preserve">                                    MINISTERUL MEDIULUI, APELOR ȘI PĂDURILOR</w:t>
    </w:r>
  </w:p>
  <w:p w14:paraId="2F0BB10B" w14:textId="77777777" w:rsidR="00E25540" w:rsidRDefault="009F3D4B">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6E93AC63" w14:textId="77777777" w:rsidR="00E25540" w:rsidRDefault="009F3D4B">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6FB949C7" wp14:editId="32504FB4">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5143" w14:textId="004F6D36" w:rsidR="00346C4F" w:rsidRDefault="00000000">
    <w:pPr>
      <w:pStyle w:val="Header"/>
    </w:pPr>
    <w:r>
      <w:rPr>
        <w:noProof/>
      </w:rPr>
      <w:pict w14:anchorId="2A685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75281" o:spid="_x0000_s1025" type="#_x0000_t136" style="position:absolute;margin-left:0;margin-top:0;width:510.6pt;height:218.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A6"/>
    <w:multiLevelType w:val="hybridMultilevel"/>
    <w:tmpl w:val="15583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1926767526">
    <w:abstractNumId w:val="1"/>
  </w:num>
  <w:num w:numId="2" w16cid:durableId="477455175">
    <w:abstractNumId w:val="2"/>
  </w:num>
  <w:num w:numId="3" w16cid:durableId="1329284602">
    <w:abstractNumId w:val="0"/>
  </w:num>
  <w:num w:numId="4" w16cid:durableId="1058167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40"/>
    <w:rsid w:val="00014422"/>
    <w:rsid w:val="0003236F"/>
    <w:rsid w:val="000378DA"/>
    <w:rsid w:val="00053C29"/>
    <w:rsid w:val="00056C44"/>
    <w:rsid w:val="0005739B"/>
    <w:rsid w:val="0008452B"/>
    <w:rsid w:val="00085B3F"/>
    <w:rsid w:val="00096009"/>
    <w:rsid w:val="000B5F27"/>
    <w:rsid w:val="00131AC3"/>
    <w:rsid w:val="00151427"/>
    <w:rsid w:val="0015792E"/>
    <w:rsid w:val="00161458"/>
    <w:rsid w:val="001B31CD"/>
    <w:rsid w:val="001D3A54"/>
    <w:rsid w:val="001E34A4"/>
    <w:rsid w:val="00241A04"/>
    <w:rsid w:val="00260652"/>
    <w:rsid w:val="00273155"/>
    <w:rsid w:val="00281217"/>
    <w:rsid w:val="00292A33"/>
    <w:rsid w:val="002B59E3"/>
    <w:rsid w:val="002C1537"/>
    <w:rsid w:val="002D1BEA"/>
    <w:rsid w:val="002D5079"/>
    <w:rsid w:val="002D76E4"/>
    <w:rsid w:val="002F5384"/>
    <w:rsid w:val="00332004"/>
    <w:rsid w:val="00346C4F"/>
    <w:rsid w:val="00352FE9"/>
    <w:rsid w:val="0039122C"/>
    <w:rsid w:val="003B238D"/>
    <w:rsid w:val="003F62A6"/>
    <w:rsid w:val="00415855"/>
    <w:rsid w:val="00434547"/>
    <w:rsid w:val="00452876"/>
    <w:rsid w:val="00456244"/>
    <w:rsid w:val="00492FA4"/>
    <w:rsid w:val="004D7E97"/>
    <w:rsid w:val="00505A23"/>
    <w:rsid w:val="00554F22"/>
    <w:rsid w:val="00563181"/>
    <w:rsid w:val="0056705F"/>
    <w:rsid w:val="0057145C"/>
    <w:rsid w:val="005911FD"/>
    <w:rsid w:val="005F2B7B"/>
    <w:rsid w:val="00605B60"/>
    <w:rsid w:val="006074DD"/>
    <w:rsid w:val="00611B16"/>
    <w:rsid w:val="00613B74"/>
    <w:rsid w:val="006233A0"/>
    <w:rsid w:val="00623C4C"/>
    <w:rsid w:val="0063024B"/>
    <w:rsid w:val="006739F5"/>
    <w:rsid w:val="00681D16"/>
    <w:rsid w:val="00683CB6"/>
    <w:rsid w:val="00693913"/>
    <w:rsid w:val="006E610E"/>
    <w:rsid w:val="007061A2"/>
    <w:rsid w:val="00725FB7"/>
    <w:rsid w:val="00730A89"/>
    <w:rsid w:val="00744302"/>
    <w:rsid w:val="00782972"/>
    <w:rsid w:val="007B4CD1"/>
    <w:rsid w:val="007B68E2"/>
    <w:rsid w:val="007D0889"/>
    <w:rsid w:val="007F511A"/>
    <w:rsid w:val="008006D6"/>
    <w:rsid w:val="008314F0"/>
    <w:rsid w:val="00861645"/>
    <w:rsid w:val="00884BB1"/>
    <w:rsid w:val="00887858"/>
    <w:rsid w:val="00895399"/>
    <w:rsid w:val="00915D45"/>
    <w:rsid w:val="009301D1"/>
    <w:rsid w:val="00962E6E"/>
    <w:rsid w:val="009819DC"/>
    <w:rsid w:val="00995D2F"/>
    <w:rsid w:val="009A4D57"/>
    <w:rsid w:val="009D15C9"/>
    <w:rsid w:val="009D2ABD"/>
    <w:rsid w:val="009F0C93"/>
    <w:rsid w:val="009F1E62"/>
    <w:rsid w:val="009F3D4B"/>
    <w:rsid w:val="00A00ECB"/>
    <w:rsid w:val="00A141AB"/>
    <w:rsid w:val="00A35339"/>
    <w:rsid w:val="00A432BC"/>
    <w:rsid w:val="00A5179F"/>
    <w:rsid w:val="00A74639"/>
    <w:rsid w:val="00A80C7C"/>
    <w:rsid w:val="00A80CDF"/>
    <w:rsid w:val="00AE7C86"/>
    <w:rsid w:val="00B13514"/>
    <w:rsid w:val="00B42387"/>
    <w:rsid w:val="00B50391"/>
    <w:rsid w:val="00B56657"/>
    <w:rsid w:val="00B6536B"/>
    <w:rsid w:val="00B654DE"/>
    <w:rsid w:val="00B8529A"/>
    <w:rsid w:val="00BA6552"/>
    <w:rsid w:val="00BD092B"/>
    <w:rsid w:val="00BD3E83"/>
    <w:rsid w:val="00BF5D6F"/>
    <w:rsid w:val="00C15B6F"/>
    <w:rsid w:val="00C20E10"/>
    <w:rsid w:val="00C21040"/>
    <w:rsid w:val="00C23014"/>
    <w:rsid w:val="00C74D77"/>
    <w:rsid w:val="00C758A5"/>
    <w:rsid w:val="00C828E3"/>
    <w:rsid w:val="00CA7ACC"/>
    <w:rsid w:val="00CC27DC"/>
    <w:rsid w:val="00CF4A32"/>
    <w:rsid w:val="00D259BD"/>
    <w:rsid w:val="00D429B8"/>
    <w:rsid w:val="00D60F77"/>
    <w:rsid w:val="00DA3BDE"/>
    <w:rsid w:val="00DB75C9"/>
    <w:rsid w:val="00E0528C"/>
    <w:rsid w:val="00E25540"/>
    <w:rsid w:val="00E26D4B"/>
    <w:rsid w:val="00E65739"/>
    <w:rsid w:val="00E85774"/>
    <w:rsid w:val="00EB1D70"/>
    <w:rsid w:val="00EB5221"/>
    <w:rsid w:val="00F03525"/>
    <w:rsid w:val="00F47B14"/>
    <w:rsid w:val="00F87C42"/>
    <w:rsid w:val="00FA4B10"/>
    <w:rsid w:val="00FB2FC6"/>
    <w:rsid w:val="00FC6FCE"/>
    <w:rsid w:val="00FF521C"/>
    <w:rsid w:val="00FF5F3F"/>
    <w:rsid w:val="00FF633B"/>
    <w:rsid w:val="00FF696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4A835"/>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BF5D6F"/>
    <w:rPr>
      <w:sz w:val="16"/>
      <w:szCs w:val="16"/>
    </w:rPr>
  </w:style>
  <w:style w:type="paragraph" w:styleId="CommentText">
    <w:name w:val="annotation text"/>
    <w:basedOn w:val="Normal"/>
    <w:link w:val="CommentTextChar"/>
    <w:uiPriority w:val="99"/>
    <w:semiHidden/>
    <w:unhideWhenUsed/>
    <w:rsid w:val="00BF5D6F"/>
    <w:pPr>
      <w:spacing w:line="240" w:lineRule="auto"/>
    </w:pPr>
    <w:rPr>
      <w:sz w:val="20"/>
      <w:szCs w:val="20"/>
    </w:rPr>
  </w:style>
  <w:style w:type="character" w:customStyle="1" w:styleId="CommentTextChar">
    <w:name w:val="Comment Text Char"/>
    <w:basedOn w:val="DefaultParagraphFont"/>
    <w:link w:val="CommentText"/>
    <w:uiPriority w:val="99"/>
    <w:semiHidden/>
    <w:rsid w:val="00BF5D6F"/>
    <w:rPr>
      <w:rFonts w:ascii="Calibri" w:eastAsia="Times New Roman" w:hAnsi="Calibri" w:cs="Times New Roman"/>
      <w:noProof/>
      <w:sz w:val="20"/>
      <w:szCs w:val="20"/>
    </w:rPr>
  </w:style>
  <w:style w:type="paragraph" w:styleId="CommentSubject">
    <w:name w:val="annotation subject"/>
    <w:basedOn w:val="CommentText"/>
    <w:next w:val="CommentText"/>
    <w:link w:val="CommentSubjectChar"/>
    <w:uiPriority w:val="99"/>
    <w:semiHidden/>
    <w:unhideWhenUsed/>
    <w:rsid w:val="00BF5D6F"/>
    <w:rPr>
      <w:b/>
      <w:bCs/>
    </w:rPr>
  </w:style>
  <w:style w:type="character" w:customStyle="1" w:styleId="CommentSubjectChar">
    <w:name w:val="Comment Subject Char"/>
    <w:basedOn w:val="CommentTextChar"/>
    <w:link w:val="CommentSubject"/>
    <w:uiPriority w:val="99"/>
    <w:semiHidden/>
    <w:rsid w:val="00BF5D6F"/>
    <w:rPr>
      <w:rFonts w:ascii="Calibri" w:eastAsia="Times New Roman" w:hAnsi="Calibri"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0689-A931-491D-8215-7E2C260A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Sandra TANASE</cp:lastModifiedBy>
  <cp:revision>8</cp:revision>
  <cp:lastPrinted>2023-06-29T12:30:00Z</cp:lastPrinted>
  <dcterms:created xsi:type="dcterms:W3CDTF">2023-06-29T11:25:00Z</dcterms:created>
  <dcterms:modified xsi:type="dcterms:W3CDTF">2023-06-29T13:13:00Z</dcterms:modified>
</cp:coreProperties>
</file>