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8DCC9" w14:textId="77777777" w:rsidR="00CA6BF9" w:rsidRPr="00431E93" w:rsidRDefault="00CA6BF9" w:rsidP="00CA6BF9">
      <w:pPr>
        <w:spacing w:line="276" w:lineRule="auto"/>
        <w:jc w:val="center"/>
        <w:rPr>
          <w:rFonts w:eastAsia="MS Mincho"/>
          <w:b/>
        </w:rPr>
      </w:pPr>
      <w:r w:rsidRPr="00431E93">
        <w:rPr>
          <w:rFonts w:eastAsia="MS Mincho"/>
          <w:b/>
        </w:rPr>
        <w:t xml:space="preserve">MINISTERUL </w:t>
      </w:r>
      <w:r>
        <w:rPr>
          <w:rFonts w:eastAsia="MS Mincho"/>
          <w:b/>
        </w:rPr>
        <w:t xml:space="preserve">MEDIULUI, </w:t>
      </w:r>
      <w:r w:rsidRPr="00431E93">
        <w:rPr>
          <w:rFonts w:eastAsia="MS Mincho"/>
          <w:b/>
        </w:rPr>
        <w:t>APELOR ŞI PĂDURILOR</w:t>
      </w:r>
    </w:p>
    <w:p w14:paraId="59BAB893" w14:textId="77777777" w:rsidR="00CA6BF9" w:rsidRPr="00431E93" w:rsidRDefault="00CA6BF9" w:rsidP="00CA6BF9">
      <w:pPr>
        <w:spacing w:line="276" w:lineRule="auto"/>
        <w:ind w:left="630"/>
        <w:jc w:val="center"/>
        <w:rPr>
          <w:rFonts w:eastAsia="MS Mincho"/>
          <w:b/>
        </w:rPr>
      </w:pPr>
    </w:p>
    <w:p w14:paraId="6B47CA06" w14:textId="77777777" w:rsidR="00CA6BF9" w:rsidRPr="00431E93" w:rsidRDefault="00CA6BF9" w:rsidP="00CA6BF9">
      <w:pPr>
        <w:spacing w:line="276" w:lineRule="auto"/>
        <w:ind w:left="630"/>
        <w:jc w:val="center"/>
        <w:rPr>
          <w:rFonts w:eastAsia="MS Mincho"/>
        </w:rPr>
      </w:pPr>
      <w:r w:rsidRPr="00431E93">
        <w:rPr>
          <w:rFonts w:eastAsia="MS Mincho"/>
          <w:noProof/>
          <w:lang w:val="en-US"/>
        </w:rPr>
        <w:drawing>
          <wp:inline distT="0" distB="0" distL="0" distR="0" wp14:anchorId="32527B8B" wp14:editId="215A51CC">
            <wp:extent cx="571500" cy="828675"/>
            <wp:effectExtent l="0" t="0" r="0" b="9525"/>
            <wp:docPr id="2" name="Picture 2" descr="http://www.presidency.ro/files/userfiles/Stema_Oficiala_a_Romaniei_din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idency.ro/files/userfiles/Stema_Oficiala_a_Romaniei_din_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E343A" w14:textId="77777777" w:rsidR="00CA6BF9" w:rsidRPr="00431E93" w:rsidRDefault="00CA6BF9" w:rsidP="00CA6BF9">
      <w:pPr>
        <w:widowControl w:val="0"/>
        <w:kinsoku w:val="0"/>
        <w:spacing w:line="276" w:lineRule="auto"/>
        <w:ind w:left="630"/>
        <w:jc w:val="center"/>
        <w:rPr>
          <w:b/>
        </w:rPr>
      </w:pPr>
      <w:r w:rsidRPr="00431E93">
        <w:rPr>
          <w:b/>
        </w:rPr>
        <w:t>ORDIN</w:t>
      </w:r>
    </w:p>
    <w:p w14:paraId="6DC66C36" w14:textId="1101D97F" w:rsidR="00CA6BF9" w:rsidRDefault="00CA6BF9" w:rsidP="00CA6BF9">
      <w:pPr>
        <w:widowControl w:val="0"/>
        <w:kinsoku w:val="0"/>
        <w:spacing w:before="324" w:line="276" w:lineRule="auto"/>
        <w:ind w:left="630"/>
        <w:jc w:val="center"/>
        <w:rPr>
          <w:b/>
          <w:bCs/>
        </w:rPr>
      </w:pPr>
      <w:r w:rsidRPr="004D57E1">
        <w:rPr>
          <w:b/>
          <w:bCs/>
        </w:rPr>
        <w:t>Nr.</w:t>
      </w:r>
      <w:r>
        <w:rPr>
          <w:b/>
          <w:bCs/>
        </w:rPr>
        <w:t xml:space="preserve"> </w:t>
      </w:r>
      <w:r w:rsidRPr="004D57E1">
        <w:rPr>
          <w:b/>
          <w:bCs/>
        </w:rPr>
        <w:t xml:space="preserve"> </w:t>
      </w:r>
      <w:r>
        <w:rPr>
          <w:b/>
          <w:bCs/>
        </w:rPr>
        <w:t>.</w:t>
      </w:r>
      <w:r w:rsidRPr="004D57E1">
        <w:rPr>
          <w:b/>
          <w:bCs/>
        </w:rPr>
        <w:t>……</w:t>
      </w:r>
      <w:r>
        <w:rPr>
          <w:b/>
          <w:bCs/>
        </w:rPr>
        <w:t xml:space="preserve">. </w:t>
      </w:r>
      <w:r w:rsidRPr="004D57E1">
        <w:rPr>
          <w:b/>
          <w:bCs/>
        </w:rPr>
        <w:t>din</w:t>
      </w:r>
      <w:r>
        <w:rPr>
          <w:b/>
          <w:bCs/>
        </w:rPr>
        <w:t xml:space="preserve"> </w:t>
      </w:r>
      <w:r w:rsidRPr="004D57E1">
        <w:rPr>
          <w:b/>
          <w:bCs/>
        </w:rPr>
        <w:t>…..……..</w:t>
      </w:r>
      <w:r>
        <w:rPr>
          <w:b/>
          <w:bCs/>
        </w:rPr>
        <w:t xml:space="preserve">  </w:t>
      </w:r>
      <w:r w:rsidRPr="004D57E1">
        <w:rPr>
          <w:b/>
          <w:bCs/>
        </w:rPr>
        <w:t>20</w:t>
      </w:r>
      <w:r>
        <w:rPr>
          <w:b/>
          <w:bCs/>
        </w:rPr>
        <w:t>2</w:t>
      </w:r>
      <w:r w:rsidR="002E551A">
        <w:rPr>
          <w:b/>
          <w:bCs/>
        </w:rPr>
        <w:t>2</w:t>
      </w:r>
    </w:p>
    <w:p w14:paraId="703236F8" w14:textId="77777777" w:rsidR="00CA6BF9" w:rsidRPr="00503A02" w:rsidRDefault="00CA6BF9" w:rsidP="00CA6BF9">
      <w:pPr>
        <w:widowControl w:val="0"/>
        <w:kinsoku w:val="0"/>
        <w:spacing w:before="324" w:line="276" w:lineRule="auto"/>
        <w:ind w:left="630"/>
        <w:jc w:val="center"/>
        <w:rPr>
          <w:b/>
          <w:bCs/>
          <w:sz w:val="2"/>
          <w:szCs w:val="2"/>
        </w:rPr>
      </w:pPr>
    </w:p>
    <w:p w14:paraId="138A1EB6" w14:textId="527DEEEB" w:rsidR="001A0A4A" w:rsidRPr="001A0A4A" w:rsidRDefault="00CA6BF9" w:rsidP="001A0A4A">
      <w:pPr>
        <w:widowControl w:val="0"/>
        <w:tabs>
          <w:tab w:val="left" w:pos="9214"/>
        </w:tabs>
        <w:kinsoku w:val="0"/>
        <w:ind w:left="993" w:right="871"/>
        <w:jc w:val="center"/>
        <w:rPr>
          <w:b/>
          <w:bCs/>
        </w:rPr>
      </w:pPr>
      <w:bookmarkStart w:id="0" w:name="_Hlk43108721"/>
      <w:r w:rsidRPr="005C05DC">
        <w:rPr>
          <w:b/>
          <w:bCs/>
        </w:rPr>
        <w:t xml:space="preserve">privind </w:t>
      </w:r>
      <w:r w:rsidR="005D0F97">
        <w:rPr>
          <w:b/>
          <w:bCs/>
        </w:rPr>
        <w:t xml:space="preserve">modificarea </w:t>
      </w:r>
      <w:bookmarkStart w:id="1" w:name="_Hlk120020656"/>
      <w:r w:rsidR="001A0A4A">
        <w:rPr>
          <w:b/>
          <w:bCs/>
        </w:rPr>
        <w:t xml:space="preserve">anexei la </w:t>
      </w:r>
      <w:r w:rsidR="003A027B">
        <w:rPr>
          <w:b/>
          <w:bCs/>
        </w:rPr>
        <w:t xml:space="preserve">Ordinul ministrului mediului, apelor și </w:t>
      </w:r>
      <w:r w:rsidR="003A027B" w:rsidRPr="00E54987">
        <w:rPr>
          <w:b/>
          <w:bCs/>
        </w:rPr>
        <w:t xml:space="preserve">pădurilor nr. </w:t>
      </w:r>
      <w:r w:rsidR="00222AD8" w:rsidRPr="00E54987">
        <w:rPr>
          <w:b/>
          <w:bCs/>
        </w:rPr>
        <w:t>2366/2022</w:t>
      </w:r>
      <w:r w:rsidR="001A0A4A">
        <w:rPr>
          <w:b/>
          <w:bCs/>
        </w:rPr>
        <w:t xml:space="preserve"> </w:t>
      </w:r>
      <w:r w:rsidR="001A0A4A" w:rsidRPr="001A0A4A">
        <w:rPr>
          <w:b/>
          <w:bCs/>
        </w:rPr>
        <w:t>pentru aprobarea Ghidului specific privind regulile și condițiile aplicabile finanțării</w:t>
      </w:r>
      <w:r w:rsidR="001A0A4A">
        <w:rPr>
          <w:b/>
          <w:bCs/>
        </w:rPr>
        <w:t xml:space="preserve"> </w:t>
      </w:r>
      <w:r w:rsidR="001A0A4A" w:rsidRPr="001A0A4A">
        <w:rPr>
          <w:b/>
          <w:bCs/>
        </w:rPr>
        <w:t>din fondurile europene aferente Planului național de redresare și reziliență în cadrul apelului</w:t>
      </w:r>
      <w:r w:rsidR="001A0A4A">
        <w:rPr>
          <w:b/>
          <w:bCs/>
        </w:rPr>
        <w:t xml:space="preserve"> </w:t>
      </w:r>
      <w:r w:rsidR="001A0A4A" w:rsidRPr="001A0A4A">
        <w:rPr>
          <w:b/>
          <w:bCs/>
        </w:rPr>
        <w:t>de proiecte PNRR/2022/C3/S/I.1.B, pentru subinvestiția I1.B. „Construirea de insule ecologice</w:t>
      </w:r>
      <w:r w:rsidR="001A0A4A">
        <w:rPr>
          <w:b/>
          <w:bCs/>
        </w:rPr>
        <w:t xml:space="preserve"> </w:t>
      </w:r>
      <w:r w:rsidR="001A0A4A" w:rsidRPr="001A0A4A">
        <w:rPr>
          <w:b/>
          <w:bCs/>
        </w:rPr>
        <w:t>digitalizate”, investiția I1. „Dezvoltarea, modernizarea și completarea sistemelor de management</w:t>
      </w:r>
      <w:r w:rsidR="001A0A4A">
        <w:rPr>
          <w:b/>
          <w:bCs/>
        </w:rPr>
        <w:t xml:space="preserve"> </w:t>
      </w:r>
      <w:r w:rsidR="001A0A4A" w:rsidRPr="001A0A4A">
        <w:rPr>
          <w:b/>
          <w:bCs/>
        </w:rPr>
        <w:t>integrat al deșeurilor municipale la nivel de județ sau la nivel de orașe/comune”,</w:t>
      </w:r>
      <w:r w:rsidR="001A0A4A">
        <w:rPr>
          <w:b/>
          <w:bCs/>
        </w:rPr>
        <w:t xml:space="preserve"> </w:t>
      </w:r>
    </w:p>
    <w:p w14:paraId="2D86044A" w14:textId="1B0DE87F" w:rsidR="00CA6BF9" w:rsidRPr="00620389" w:rsidRDefault="001A0A4A" w:rsidP="001A0A4A">
      <w:pPr>
        <w:widowControl w:val="0"/>
        <w:tabs>
          <w:tab w:val="left" w:pos="9214"/>
        </w:tabs>
        <w:kinsoku w:val="0"/>
        <w:ind w:left="993" w:right="871"/>
        <w:jc w:val="center"/>
        <w:rPr>
          <w:b/>
          <w:bCs/>
          <w:color w:val="000000"/>
        </w:rPr>
      </w:pPr>
      <w:r w:rsidRPr="001A0A4A">
        <w:rPr>
          <w:b/>
          <w:bCs/>
        </w:rPr>
        <w:t>componenta 3. Managementul deșeurilor</w:t>
      </w:r>
      <w:r w:rsidRPr="001A0A4A" w:rsidDel="001A0A4A">
        <w:rPr>
          <w:b/>
          <w:bCs/>
        </w:rPr>
        <w:t xml:space="preserve"> </w:t>
      </w:r>
      <w:bookmarkEnd w:id="0"/>
      <w:bookmarkEnd w:id="1"/>
    </w:p>
    <w:p w14:paraId="7EED3C4D" w14:textId="64A92000" w:rsidR="00ED0F8C" w:rsidRDefault="00ED0F8C" w:rsidP="00FD32F1"/>
    <w:p w14:paraId="473D8707" w14:textId="77777777" w:rsidR="005E0F48" w:rsidRDefault="005E0F48" w:rsidP="00FD32F1"/>
    <w:p w14:paraId="516622F6" w14:textId="1F3B9A32" w:rsidR="00ED0F8C" w:rsidRPr="00B628CF" w:rsidRDefault="00ED0F8C" w:rsidP="00ED0F8C">
      <w:pPr>
        <w:tabs>
          <w:tab w:val="left" w:pos="810"/>
        </w:tabs>
        <w:spacing w:line="100" w:lineRule="atLeast"/>
        <w:ind w:right="-193"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 xml:space="preserve">Având în vedere: Referatul de </w:t>
      </w:r>
      <w:r w:rsidRPr="00393EFF">
        <w:rPr>
          <w:rFonts w:eastAsiaTheme="minorHAnsi"/>
          <w:color w:val="000000" w:themeColor="text1"/>
        </w:rPr>
        <w:t xml:space="preserve">aprobare nr. </w:t>
      </w:r>
      <w:r w:rsidR="00393EFF" w:rsidRPr="00393EFF">
        <w:rPr>
          <w:rFonts w:eastAsiaTheme="minorHAnsi"/>
          <w:color w:val="000000" w:themeColor="text1"/>
        </w:rPr>
        <w:t>DGPNRR</w:t>
      </w:r>
      <w:r w:rsidR="00393EFF">
        <w:rPr>
          <w:rFonts w:eastAsiaTheme="minorHAnsi"/>
          <w:color w:val="000000" w:themeColor="text1"/>
        </w:rPr>
        <w:t xml:space="preserve">/51704/22.11.2022 </w:t>
      </w:r>
      <w:r w:rsidR="00B628CF">
        <w:rPr>
          <w:rFonts w:eastAsiaTheme="minorHAnsi"/>
          <w:color w:val="000000" w:themeColor="text1"/>
        </w:rPr>
        <w:t xml:space="preserve">al </w:t>
      </w:r>
      <w:r w:rsidRPr="00ED0F8C">
        <w:rPr>
          <w:rFonts w:eastAsiaTheme="minorHAnsi"/>
          <w:color w:val="000000" w:themeColor="text1"/>
        </w:rPr>
        <w:t>Direcției Generale Planul Nați</w:t>
      </w:r>
      <w:r w:rsidR="00B628CF">
        <w:rPr>
          <w:rFonts w:eastAsiaTheme="minorHAnsi"/>
          <w:color w:val="000000" w:themeColor="text1"/>
        </w:rPr>
        <w:t>onal de Redresare și Reziliență,</w:t>
      </w:r>
    </w:p>
    <w:p w14:paraId="625C627B" w14:textId="77777777" w:rsidR="00ED0F8C" w:rsidRPr="006D5A39" w:rsidRDefault="00ED0F8C" w:rsidP="00ED0F8C">
      <w:pPr>
        <w:spacing w:line="100" w:lineRule="atLeast"/>
        <w:ind w:right="-193" w:firstLine="708"/>
        <w:jc w:val="both"/>
        <w:rPr>
          <w:bCs/>
        </w:rPr>
      </w:pPr>
    </w:p>
    <w:p w14:paraId="1EA30E8D" w14:textId="77777777" w:rsidR="00ED0F8C" w:rsidRPr="00ED0F8C" w:rsidRDefault="00ED0F8C" w:rsidP="00ED0F8C">
      <w:pPr>
        <w:spacing w:line="259" w:lineRule="auto"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În baza prevederilor:</w:t>
      </w:r>
    </w:p>
    <w:p w14:paraId="6F72FEDD" w14:textId="77777777" w:rsidR="00ED0F8C" w:rsidRPr="00ED0F8C" w:rsidRDefault="00ED0F8C" w:rsidP="00ED0F8C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Acordului de finanțare privind implementarea reformelor și/sau investițiilor finanțate prin Planul național de redresare și reziliență nr. 26595/08.03.2022, încheiat între Ministerul Investițiilor și Proiectelor Europene și Ministerul Mediului, Apelor și Pădurilor;</w:t>
      </w:r>
    </w:p>
    <w:p w14:paraId="29A8471E" w14:textId="77777777" w:rsidR="00ED0F8C" w:rsidRPr="00ED0F8C" w:rsidRDefault="00ED0F8C" w:rsidP="00ED0F8C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Regulamentului (UE) 2021/241 al Parlamentului European și al Consiliului din 12 februarie 2021 de instituire a Mecanismului de redresare și  reziliență;</w:t>
      </w:r>
    </w:p>
    <w:p w14:paraId="37BD13DA" w14:textId="77777777" w:rsidR="00ED0F8C" w:rsidRPr="00ED0F8C" w:rsidRDefault="00ED0F8C" w:rsidP="00ED0F8C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Deciziei de punere în aplicare a Consiliului de aprobare a evaluării planului de redresare și reziliență al României din data de 03 noiembrie 2021 (CID);</w:t>
      </w:r>
    </w:p>
    <w:p w14:paraId="63117566" w14:textId="46E7AE86" w:rsidR="0061754B" w:rsidRPr="0061754B" w:rsidRDefault="00ED0F8C" w:rsidP="0061754B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Regulamentului (UE) 2020/2094 al Consiliului din 14 decembrie 2020 de instituire a unui instrument de redresare al Uniunii Europene pentru a sprijini redresarea în urma crizei provocate de COVID-19;</w:t>
      </w:r>
    </w:p>
    <w:p w14:paraId="0CB9A086" w14:textId="79518AFA" w:rsidR="0061754B" w:rsidRPr="0061754B" w:rsidRDefault="0061754B" w:rsidP="0061754B">
      <w:pPr>
        <w:numPr>
          <w:ilvl w:val="0"/>
          <w:numId w:val="7"/>
        </w:numPr>
        <w:tabs>
          <w:tab w:val="left" w:pos="0"/>
        </w:tabs>
        <w:spacing w:after="160" w:line="256" w:lineRule="auto"/>
        <w:ind w:left="540" w:hanging="540"/>
        <w:contextualSpacing/>
        <w:jc w:val="both"/>
        <w:rPr>
          <w:rFonts w:eastAsiaTheme="minorHAnsi"/>
        </w:rPr>
      </w:pPr>
      <w:r>
        <w:rPr>
          <w:rFonts w:eastAsiaTheme="minorHAnsi"/>
        </w:rPr>
        <w:t>Regulamentului (UE) 2021/240 al Parlamentului European și al Consiliului din 10 februarie 2021 de instituire a unui Instrument de sprijin tehnic;</w:t>
      </w:r>
    </w:p>
    <w:p w14:paraId="456B7473" w14:textId="315C8AA4" w:rsidR="00ED0F8C" w:rsidRPr="00ED0F8C" w:rsidRDefault="00ED0F8C" w:rsidP="00ED0F8C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Ordonanţei de urgență a Guvernului nr. 155/2020 privind unele măsuri pentru elaborarea Planului naţional de redresare şi rezilienţă necesar României pentru accesarea de fonduri externe rambursabile şi nerambursabile în cadrul Mecanismului de redresare şi rezilienţă</w:t>
      </w:r>
      <w:r w:rsidR="008E1AEA">
        <w:rPr>
          <w:rFonts w:eastAsiaTheme="minorHAnsi"/>
          <w:color w:val="000000" w:themeColor="text1"/>
        </w:rPr>
        <w:t>,</w:t>
      </w:r>
      <w:r w:rsidRPr="00ED0F8C">
        <w:rPr>
          <w:rFonts w:eastAsiaTheme="minorHAnsi"/>
          <w:color w:val="000000" w:themeColor="text1"/>
        </w:rPr>
        <w:t xml:space="preserve"> aprobată prin Legea nr. 230/2021, cu modificările și completările ulterioare;</w:t>
      </w:r>
    </w:p>
    <w:p w14:paraId="465F2B61" w14:textId="00EB846E" w:rsidR="00ED0F8C" w:rsidRPr="00E35CA3" w:rsidRDefault="00ED0F8C" w:rsidP="00E35CA3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 xml:space="preserve">Ordonanţei de urgență a Guvernului nr. 124/2021 privind stabilirea cadrului instituţional și financiar pentru gestionarea  fondurilor europene alocate României prin Mecanismul de redresare şi rezilienţă precum şi pentru modificarea și completarea Ordonanței de urgență a Guvernului nr. 155/2020 privind unele măsuri pentru elaborarea Planului naţional de redresare şi rezilienţă necesar României pentru accesarea de fonduri externe rambursabile şi nerambursabile în cadrul </w:t>
      </w:r>
      <w:r w:rsidRPr="00ED0F8C">
        <w:rPr>
          <w:rFonts w:eastAsiaTheme="minorHAnsi"/>
          <w:color w:val="000000" w:themeColor="text1"/>
        </w:rPr>
        <w:lastRenderedPageBreak/>
        <w:t>Mecanismului de redresare şi rezilienţă,</w:t>
      </w:r>
      <w:r w:rsidR="00E35CA3" w:rsidRPr="00E35CA3">
        <w:rPr>
          <w:rFonts w:eastAsiaTheme="minorHAnsi"/>
          <w:color w:val="000000" w:themeColor="text1"/>
        </w:rPr>
        <w:t xml:space="preserve"> </w:t>
      </w:r>
      <w:r w:rsidR="00E35CA3">
        <w:rPr>
          <w:rFonts w:eastAsiaTheme="minorHAnsi"/>
          <w:color w:val="000000" w:themeColor="text1"/>
        </w:rPr>
        <w:t xml:space="preserve">aprobată </w:t>
      </w:r>
      <w:r w:rsidR="00E35CA3" w:rsidRPr="00ED0F8C">
        <w:rPr>
          <w:rFonts w:eastAsiaTheme="minorHAnsi"/>
          <w:color w:val="000000" w:themeColor="text1"/>
        </w:rPr>
        <w:t>cu modificări și completări</w:t>
      </w:r>
      <w:r w:rsidR="00E35CA3">
        <w:rPr>
          <w:rFonts w:eastAsiaTheme="minorHAnsi"/>
          <w:color w:val="000000" w:themeColor="text1"/>
        </w:rPr>
        <w:t xml:space="preserve"> prin Legea nr. </w:t>
      </w:r>
      <w:r w:rsidR="00E35CA3" w:rsidRPr="00ED0F8C">
        <w:rPr>
          <w:rFonts w:eastAsiaTheme="minorHAnsi"/>
          <w:color w:val="000000" w:themeColor="text1"/>
        </w:rPr>
        <w:t xml:space="preserve"> </w:t>
      </w:r>
      <w:r w:rsidR="00E35CA3">
        <w:rPr>
          <w:rFonts w:eastAsiaTheme="minorHAnsi"/>
          <w:color w:val="000000" w:themeColor="text1"/>
        </w:rPr>
        <w:t>178/2022,</w:t>
      </w:r>
      <w:r w:rsidRPr="00E35CA3">
        <w:rPr>
          <w:rFonts w:eastAsiaTheme="minorHAnsi"/>
          <w:color w:val="000000" w:themeColor="text1"/>
        </w:rPr>
        <w:t xml:space="preserve"> cu modificările și completările ulterioare;</w:t>
      </w:r>
    </w:p>
    <w:p w14:paraId="43454028" w14:textId="463F836E" w:rsidR="00B628CF" w:rsidRDefault="00ED0F8C" w:rsidP="00B628CF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Hotărârii Guvernului nr. 209/2022 pentru aprobarea Normelor metodologice de aplicare a prevederilor Ordonanţei de urgență a Guvernului nr. 124/2021 privind stabilirea cadrului instituţional și financiar pentru gestionarea  fondurilor europene alocate României prin Mecanismul de redresare şi rezilienţă</w:t>
      </w:r>
      <w:r w:rsidR="008E1AEA">
        <w:rPr>
          <w:rFonts w:eastAsiaTheme="minorHAnsi"/>
          <w:color w:val="000000" w:themeColor="text1"/>
        </w:rPr>
        <w:t>,</w:t>
      </w:r>
      <w:r w:rsidRPr="00ED0F8C">
        <w:rPr>
          <w:rFonts w:eastAsiaTheme="minorHAnsi"/>
          <w:color w:val="000000" w:themeColor="text1"/>
        </w:rPr>
        <w:t xml:space="preserve"> precum şi pentru modificarea și completarea Ordonanței de urgență a Guvernului nr. 155/2020 privind unele măsuri pentru elaborarea Planului naţional de redresare şi rezilienţă necesar României pentru accesarea de fonduri externe rambursabile şi nerambursabile în cadrul Mecanismului de redresare şi rezilienţă;</w:t>
      </w:r>
    </w:p>
    <w:p w14:paraId="645373E2" w14:textId="0FE84634" w:rsidR="00B628CF" w:rsidRPr="00B628CF" w:rsidRDefault="00B628CF" w:rsidP="00B628CF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B628CF">
        <w:rPr>
          <w:color w:val="000000" w:themeColor="text1"/>
        </w:rPr>
        <w:t>art. 1 alin. (15) din Hotărârea Guvernului nr. 43/2020 privind organizarea şi funcţionarea Ministerului Mediului, Apelor și Pădurilor, cu modificările și completările ulterioare,</w:t>
      </w:r>
    </w:p>
    <w:p w14:paraId="23D780ED" w14:textId="77777777" w:rsidR="00ED0F8C" w:rsidRPr="000054FC" w:rsidRDefault="00ED0F8C" w:rsidP="00ED0F8C">
      <w:pPr>
        <w:jc w:val="both"/>
        <w:rPr>
          <w:color w:val="000000" w:themeColor="text1"/>
        </w:rPr>
      </w:pPr>
      <w:r w:rsidRPr="000054FC">
        <w:rPr>
          <w:color w:val="000000" w:themeColor="text1"/>
        </w:rPr>
        <w:t xml:space="preserve">În temeiul prevederilor: </w:t>
      </w:r>
    </w:p>
    <w:p w14:paraId="1D79D5EC" w14:textId="77777777" w:rsidR="00ED0F8C" w:rsidRPr="000054FC" w:rsidRDefault="00ED0F8C" w:rsidP="00ED0F8C">
      <w:pPr>
        <w:pStyle w:val="ListParagraph"/>
        <w:numPr>
          <w:ilvl w:val="0"/>
          <w:numId w:val="6"/>
        </w:numPr>
        <w:spacing w:line="259" w:lineRule="auto"/>
        <w:ind w:left="540" w:hanging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054F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art. 57 alin. (1), (4) și (5) din Ordonanța de urgență a Guvernului nr. 57/2019 privind Codul administrativ, cu modificările și completările ulterioare,</w:t>
      </w:r>
    </w:p>
    <w:p w14:paraId="66107FB2" w14:textId="6D408DB5" w:rsidR="00ED0F8C" w:rsidRPr="000054FC" w:rsidRDefault="00ED0F8C" w:rsidP="00ED0F8C">
      <w:pPr>
        <w:pStyle w:val="ListParagraph"/>
        <w:numPr>
          <w:ilvl w:val="0"/>
          <w:numId w:val="6"/>
        </w:numPr>
        <w:spacing w:after="160" w:line="259" w:lineRule="auto"/>
        <w:ind w:left="540" w:hanging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054F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 13 alin. (4) din Hotărârea Guvernului nr. 43/2020 privind organizarea şi funcţionarea Ministerului Mediului, Apelor și Pădurilor, cu modificările și completările ulterioare, </w:t>
      </w:r>
    </w:p>
    <w:p w14:paraId="27E14634" w14:textId="6ADC8B97" w:rsidR="00FD32F1" w:rsidRPr="000D01FA" w:rsidRDefault="00FD32F1" w:rsidP="00FD32F1">
      <w:pPr>
        <w:rPr>
          <w:sz w:val="16"/>
          <w:szCs w:val="16"/>
        </w:rPr>
      </w:pPr>
    </w:p>
    <w:p w14:paraId="7914A3CD" w14:textId="77777777" w:rsidR="00CA6BF9" w:rsidRDefault="00CA6BF9" w:rsidP="00CA6BF9">
      <w:pPr>
        <w:spacing w:line="276" w:lineRule="auto"/>
        <w:jc w:val="both"/>
      </w:pPr>
      <w:r w:rsidRPr="00CC6DA6">
        <w:rPr>
          <w:b/>
        </w:rPr>
        <w:t xml:space="preserve">ministrul </w:t>
      </w:r>
      <w:r>
        <w:rPr>
          <w:b/>
        </w:rPr>
        <w:t xml:space="preserve">mediului, </w:t>
      </w:r>
      <w:r w:rsidRPr="00CC6DA6">
        <w:rPr>
          <w:b/>
        </w:rPr>
        <w:t>apelor și pădurilor</w:t>
      </w:r>
      <w:r w:rsidRPr="00CC6DA6">
        <w:t xml:space="preserve"> emite următorul</w:t>
      </w:r>
    </w:p>
    <w:p w14:paraId="27DCDE98" w14:textId="77777777" w:rsidR="00CA6BF9" w:rsidRPr="00F816F7" w:rsidRDefault="00CA6BF9" w:rsidP="00CA6BF9">
      <w:pPr>
        <w:spacing w:line="276" w:lineRule="auto"/>
        <w:jc w:val="both"/>
        <w:rPr>
          <w:sz w:val="14"/>
          <w:szCs w:val="14"/>
        </w:rPr>
      </w:pPr>
    </w:p>
    <w:p w14:paraId="31B96909" w14:textId="77777777" w:rsidR="005A62B6" w:rsidRDefault="005A62B6" w:rsidP="00390CC5">
      <w:pPr>
        <w:pStyle w:val="Header"/>
        <w:tabs>
          <w:tab w:val="clear" w:pos="4320"/>
          <w:tab w:val="clear" w:pos="8640"/>
        </w:tabs>
        <w:spacing w:line="276" w:lineRule="auto"/>
        <w:ind w:right="-263"/>
        <w:rPr>
          <w:rFonts w:ascii="Times New Roman" w:hAnsi="Times New Roman" w:cs="Times New Roman"/>
          <w:b/>
          <w:lang w:val="ro-RO"/>
        </w:rPr>
      </w:pPr>
    </w:p>
    <w:p w14:paraId="3B9F0582" w14:textId="034CBB48" w:rsidR="00CA6BF9" w:rsidRPr="00E82413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ind w:right="-263"/>
        <w:jc w:val="center"/>
        <w:rPr>
          <w:rFonts w:ascii="Times New Roman" w:hAnsi="Times New Roman" w:cs="Times New Roman"/>
          <w:b/>
          <w:lang w:val="ro-RO"/>
        </w:rPr>
      </w:pPr>
      <w:r w:rsidRPr="00E82413">
        <w:rPr>
          <w:rFonts w:ascii="Times New Roman" w:hAnsi="Times New Roman" w:cs="Times New Roman"/>
          <w:b/>
          <w:lang w:val="ro-RO"/>
        </w:rPr>
        <w:t>O R D I N :</w:t>
      </w:r>
    </w:p>
    <w:p w14:paraId="5EA30DA3" w14:textId="77777777" w:rsidR="00CA6BF9" w:rsidRPr="00E82413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ind w:right="-263"/>
        <w:rPr>
          <w:rFonts w:ascii="Times New Roman" w:hAnsi="Times New Roman" w:cs="Times New Roman"/>
          <w:b/>
          <w:bCs/>
          <w:lang w:val="ro-RO"/>
        </w:rPr>
      </w:pPr>
    </w:p>
    <w:p w14:paraId="47988362" w14:textId="7D6C10F0" w:rsidR="001A0A4A" w:rsidRPr="001A0A4A" w:rsidRDefault="00CA6BF9" w:rsidP="00C422C9">
      <w:pPr>
        <w:ind w:right="46"/>
        <w:jc w:val="both"/>
        <w:rPr>
          <w:bCs/>
        </w:rPr>
      </w:pPr>
      <w:r w:rsidRPr="00C422C9">
        <w:rPr>
          <w:b/>
        </w:rPr>
        <w:t>Art.</w:t>
      </w:r>
      <w:r w:rsidR="00C422C9" w:rsidRPr="00A21C06">
        <w:rPr>
          <w:b/>
        </w:rPr>
        <w:t xml:space="preserve"> </w:t>
      </w:r>
      <w:r w:rsidR="00AE0B8A">
        <w:rPr>
          <w:b/>
        </w:rPr>
        <w:t>I</w:t>
      </w:r>
      <w:r w:rsidRPr="00C422C9">
        <w:rPr>
          <w:b/>
        </w:rPr>
        <w:t>.</w:t>
      </w:r>
      <w:r w:rsidR="00C422C9">
        <w:rPr>
          <w:b/>
        </w:rPr>
        <w:t xml:space="preserve"> </w:t>
      </w:r>
      <w:r w:rsidR="001A0A4A">
        <w:rPr>
          <w:b/>
        </w:rPr>
        <w:t>–</w:t>
      </w:r>
      <w:r w:rsidR="001A0A4A">
        <w:rPr>
          <w:bCs/>
          <w:iCs/>
        </w:rPr>
        <w:t xml:space="preserve"> A</w:t>
      </w:r>
      <w:r w:rsidR="00C422C9" w:rsidRPr="00A0259B">
        <w:rPr>
          <w:rFonts w:eastAsiaTheme="minorHAnsi"/>
          <w:bCs/>
        </w:rPr>
        <w:t>nexa la Ordinul ministrului mediului, apelor și pădurilor</w:t>
      </w:r>
      <w:r w:rsidR="00C422C9" w:rsidRPr="001A0A4A">
        <w:rPr>
          <w:rFonts w:eastAsiaTheme="minorHAnsi"/>
          <w:bCs/>
        </w:rPr>
        <w:t xml:space="preserve"> </w:t>
      </w:r>
      <w:r w:rsidR="00C422C9" w:rsidRPr="00A0259B">
        <w:rPr>
          <w:rFonts w:eastAsiaTheme="minorHAnsi"/>
          <w:bCs/>
        </w:rPr>
        <w:t>nr. 2.366/2022 pentru aprobarea Ghidului specific</w:t>
      </w:r>
      <w:r w:rsidR="00C422C9" w:rsidRPr="001A0A4A">
        <w:rPr>
          <w:rFonts w:eastAsiaTheme="minorHAnsi"/>
          <w:bCs/>
        </w:rPr>
        <w:t xml:space="preserve"> </w:t>
      </w:r>
      <w:r w:rsidR="00C422C9" w:rsidRPr="00A0259B">
        <w:rPr>
          <w:rFonts w:eastAsiaTheme="minorHAnsi"/>
          <w:bCs/>
        </w:rPr>
        <w:t>privind regulile și condițiile aplicabile finanțării</w:t>
      </w:r>
      <w:r w:rsidR="00C422C9" w:rsidRPr="001A0A4A">
        <w:rPr>
          <w:rFonts w:eastAsiaTheme="minorHAnsi"/>
          <w:bCs/>
        </w:rPr>
        <w:t xml:space="preserve"> </w:t>
      </w:r>
      <w:r w:rsidR="00C422C9" w:rsidRPr="00A0259B">
        <w:rPr>
          <w:rFonts w:eastAsiaTheme="minorHAnsi"/>
          <w:bCs/>
        </w:rPr>
        <w:t>din fondurile europene aferente Planului național</w:t>
      </w:r>
      <w:r w:rsidR="00C422C9" w:rsidRPr="001A0A4A">
        <w:rPr>
          <w:rFonts w:eastAsiaTheme="minorHAnsi"/>
          <w:bCs/>
        </w:rPr>
        <w:t xml:space="preserve"> </w:t>
      </w:r>
      <w:r w:rsidR="00C422C9" w:rsidRPr="00A0259B">
        <w:rPr>
          <w:rFonts w:eastAsiaTheme="minorHAnsi"/>
          <w:bCs/>
        </w:rPr>
        <w:t>de redresare și reziliență în cadrul apelului de</w:t>
      </w:r>
      <w:r w:rsidR="00C422C9" w:rsidRPr="001A0A4A">
        <w:rPr>
          <w:rFonts w:eastAsiaTheme="minorHAnsi"/>
          <w:bCs/>
        </w:rPr>
        <w:t xml:space="preserve"> </w:t>
      </w:r>
      <w:r w:rsidR="00C422C9" w:rsidRPr="00A0259B">
        <w:rPr>
          <w:rFonts w:eastAsiaTheme="minorHAnsi"/>
          <w:bCs/>
        </w:rPr>
        <w:t>proiecte PNRR/2022/C3/S/I.1.B, pentru subinvestiția</w:t>
      </w:r>
      <w:r w:rsidR="00C422C9" w:rsidRPr="001A0A4A">
        <w:rPr>
          <w:rFonts w:eastAsiaTheme="minorHAnsi"/>
          <w:bCs/>
        </w:rPr>
        <w:t xml:space="preserve"> </w:t>
      </w:r>
      <w:r w:rsidR="00C422C9" w:rsidRPr="00A0259B">
        <w:rPr>
          <w:rFonts w:eastAsiaTheme="minorHAnsi"/>
          <w:bCs/>
        </w:rPr>
        <w:t>I1.B. „Construirea de insule ecologice digitalizate”,</w:t>
      </w:r>
      <w:r w:rsidR="00C422C9" w:rsidRPr="001A0A4A">
        <w:rPr>
          <w:rFonts w:eastAsiaTheme="minorHAnsi"/>
          <w:bCs/>
        </w:rPr>
        <w:t xml:space="preserve"> </w:t>
      </w:r>
      <w:r w:rsidR="00C422C9" w:rsidRPr="00A0259B">
        <w:rPr>
          <w:rFonts w:eastAsiaTheme="minorHAnsi"/>
          <w:bCs/>
        </w:rPr>
        <w:t>investiția I1. „Dezvoltarea, modernizarea și completarea</w:t>
      </w:r>
      <w:r w:rsidR="00C422C9" w:rsidRPr="001A0A4A">
        <w:rPr>
          <w:rFonts w:eastAsiaTheme="minorHAnsi"/>
          <w:bCs/>
        </w:rPr>
        <w:t xml:space="preserve"> </w:t>
      </w:r>
      <w:r w:rsidR="00C422C9" w:rsidRPr="00A0259B">
        <w:rPr>
          <w:rFonts w:eastAsiaTheme="minorHAnsi"/>
          <w:bCs/>
        </w:rPr>
        <w:t>sistemelor de management integrat al deșeurilor</w:t>
      </w:r>
      <w:r w:rsidR="00C422C9" w:rsidRPr="001A0A4A">
        <w:rPr>
          <w:rFonts w:eastAsiaTheme="minorHAnsi"/>
          <w:bCs/>
        </w:rPr>
        <w:t xml:space="preserve"> </w:t>
      </w:r>
      <w:r w:rsidR="00C422C9" w:rsidRPr="00A0259B">
        <w:rPr>
          <w:rFonts w:eastAsiaTheme="minorHAnsi"/>
          <w:bCs/>
        </w:rPr>
        <w:t>municipale la nivel de județ sau la nivel de orașe/comune”, componenta 3. Managementul deșeurilor</w:t>
      </w:r>
      <w:r w:rsidR="002E5169" w:rsidRPr="001A0A4A">
        <w:rPr>
          <w:bCs/>
        </w:rPr>
        <w:t xml:space="preserve">, </w:t>
      </w:r>
      <w:r w:rsidR="00E54987" w:rsidRPr="001A0A4A">
        <w:rPr>
          <w:bCs/>
        </w:rPr>
        <w:t>publicat în Monitorul Oficial al României, Partea I, nr. 901</w:t>
      </w:r>
      <w:r w:rsidR="005B58AA">
        <w:rPr>
          <w:bCs/>
        </w:rPr>
        <w:t xml:space="preserve"> </w:t>
      </w:r>
      <w:r w:rsidR="00E54987" w:rsidRPr="001A0A4A">
        <w:rPr>
          <w:bCs/>
        </w:rPr>
        <w:t xml:space="preserve">din 13 septembrie 2022, </w:t>
      </w:r>
      <w:r w:rsidR="005E0F48" w:rsidRPr="001A0A4A">
        <w:rPr>
          <w:bCs/>
        </w:rPr>
        <w:t xml:space="preserve"> </w:t>
      </w:r>
      <w:r w:rsidR="00591BB6" w:rsidRPr="001A0A4A">
        <w:rPr>
          <w:bCs/>
        </w:rPr>
        <w:t>se modifică</w:t>
      </w:r>
      <w:r w:rsidR="001A0A4A" w:rsidRPr="001A0A4A">
        <w:rPr>
          <w:bCs/>
        </w:rPr>
        <w:t xml:space="preserve"> după cum urmează:</w:t>
      </w:r>
    </w:p>
    <w:p w14:paraId="395860D5" w14:textId="77777777" w:rsidR="001A0A4A" w:rsidRPr="001A0A4A" w:rsidRDefault="001A0A4A" w:rsidP="00C422C9">
      <w:pPr>
        <w:ind w:right="46"/>
        <w:jc w:val="both"/>
        <w:rPr>
          <w:bCs/>
        </w:rPr>
      </w:pPr>
    </w:p>
    <w:p w14:paraId="020D0382" w14:textId="2902C4AF" w:rsidR="008539A5" w:rsidRPr="00A0259B" w:rsidRDefault="001A0A4A" w:rsidP="00A0259B">
      <w:pPr>
        <w:pStyle w:val="ListParagraph"/>
        <w:numPr>
          <w:ilvl w:val="0"/>
          <w:numId w:val="10"/>
        </w:numPr>
        <w:ind w:right="46"/>
        <w:jc w:val="both"/>
        <w:rPr>
          <w:bCs/>
          <w:lang w:val="it-IT"/>
        </w:rPr>
      </w:pPr>
      <w:r w:rsidRPr="00A0259B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La </w:t>
      </w:r>
      <w:r w:rsidR="005B58AA" w:rsidRPr="00A0259B">
        <w:rPr>
          <w:rFonts w:ascii="Times New Roman" w:hAnsi="Times New Roman" w:cs="Times New Roman"/>
          <w:bCs/>
          <w:sz w:val="24"/>
          <w:szCs w:val="24"/>
          <w:lang w:val="it-IT"/>
        </w:rPr>
        <w:t>c</w:t>
      </w:r>
      <w:r w:rsidRPr="00A0259B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apitolul 1 ”Informații obiectiv de investiții”, </w:t>
      </w:r>
      <w:r w:rsidR="005B58AA" w:rsidRPr="00A0259B">
        <w:rPr>
          <w:rFonts w:ascii="Times New Roman" w:hAnsi="Times New Roman" w:cs="Times New Roman"/>
          <w:bCs/>
          <w:sz w:val="24"/>
          <w:szCs w:val="24"/>
          <w:lang w:val="it-IT"/>
        </w:rPr>
        <w:t>s</w:t>
      </w:r>
      <w:r w:rsidRPr="00A0259B">
        <w:rPr>
          <w:rFonts w:ascii="Times New Roman" w:hAnsi="Times New Roman" w:cs="Times New Roman"/>
          <w:bCs/>
          <w:sz w:val="24"/>
          <w:szCs w:val="24"/>
          <w:lang w:val="it-IT"/>
        </w:rPr>
        <w:t>ecțiunea 1.5 ”Alocarea apelului de proiecte”,</w:t>
      </w:r>
      <w:r w:rsidRPr="00A0259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5B58AA" w:rsidRPr="00A0259B">
        <w:rPr>
          <w:rFonts w:ascii="Times New Roman" w:hAnsi="Times New Roman" w:cs="Times New Roman"/>
          <w:bCs/>
          <w:iCs/>
          <w:sz w:val="24"/>
          <w:szCs w:val="24"/>
          <w:lang w:val="it-IT"/>
        </w:rPr>
        <w:t>s</w:t>
      </w:r>
      <w:r w:rsidRPr="00A0259B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ubsecțiunea 1.5.2. “Alocarea financiară în funcție de investiție” </w:t>
      </w:r>
      <w:r w:rsidRPr="00A0259B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se modifică </w:t>
      </w:r>
      <w:r w:rsidR="00591BB6" w:rsidRPr="00A0259B">
        <w:rPr>
          <w:rFonts w:ascii="Times New Roman" w:hAnsi="Times New Roman" w:cs="Times New Roman"/>
          <w:bCs/>
          <w:sz w:val="24"/>
          <w:szCs w:val="24"/>
          <w:lang w:val="it-IT"/>
        </w:rPr>
        <w:t>și va avea următorul cuprins:</w:t>
      </w:r>
    </w:p>
    <w:p w14:paraId="16BC8B2F" w14:textId="77777777" w:rsidR="00C422C9" w:rsidRDefault="00C422C9" w:rsidP="00C422C9">
      <w:pPr>
        <w:ind w:right="46"/>
        <w:jc w:val="both"/>
      </w:pPr>
    </w:p>
    <w:p w14:paraId="552BD72A" w14:textId="7B6724D8" w:rsidR="003B465F" w:rsidRPr="00A0259B" w:rsidRDefault="003B465F" w:rsidP="00FD32F1">
      <w:pPr>
        <w:ind w:right="46"/>
        <w:jc w:val="both"/>
      </w:pPr>
      <w:r>
        <w:tab/>
      </w:r>
      <w:r w:rsidRPr="005B58AA">
        <w:t>,,</w:t>
      </w:r>
      <w:r w:rsidRPr="00A0259B">
        <w:t xml:space="preserve"> 1.5.2. Alocarea financiară în funcție de investiție</w:t>
      </w:r>
    </w:p>
    <w:p w14:paraId="45BDE975" w14:textId="77777777" w:rsidR="003B465F" w:rsidRPr="00765E88" w:rsidRDefault="003B465F" w:rsidP="001A0A4A">
      <w:pPr>
        <w:ind w:right="46" w:firstLine="720"/>
        <w:jc w:val="both"/>
      </w:pPr>
      <w:r w:rsidRPr="00A0259B">
        <w:t>Bugetul alocat programului va fi divizat în funcție de tipul investiției</w:t>
      </w:r>
      <w:r w:rsidRPr="005B58AA">
        <w:t xml:space="preserve"> pentru</w:t>
      </w:r>
      <w:r w:rsidRPr="00765E88">
        <w:t xml:space="preserve"> lucrările destinate construirii și operaționalizării de insule ecologice digitalizate (ansamblu de containere digitalizate pentru colectarea separată de deșeuri menajere) aleasă de solicitant, după cum urmează: </w:t>
      </w:r>
    </w:p>
    <w:p w14:paraId="6F32D57D" w14:textId="6A40349B" w:rsidR="003B465F" w:rsidRPr="00765E88" w:rsidRDefault="003B465F" w:rsidP="001A0A4A">
      <w:pPr>
        <w:pStyle w:val="ListParagraph"/>
        <w:numPr>
          <w:ilvl w:val="0"/>
          <w:numId w:val="9"/>
        </w:numPr>
        <w:tabs>
          <w:tab w:val="left" w:pos="990"/>
          <w:tab w:val="left" w:pos="1080"/>
        </w:tabs>
        <w:ind w:right="46" w:hanging="9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65E88">
        <w:rPr>
          <w:rFonts w:ascii="Times New Roman" w:hAnsi="Times New Roman" w:cs="Times New Roman"/>
          <w:sz w:val="24"/>
          <w:szCs w:val="24"/>
          <w:lang w:val="it-IT"/>
        </w:rPr>
        <w:t xml:space="preserve">Insule supraterane încasetate cu containere de 1.1 metri cubi: </w:t>
      </w:r>
      <w:r w:rsidR="00765E88" w:rsidRPr="00765E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65E88">
        <w:rPr>
          <w:rFonts w:ascii="Times New Roman" w:hAnsi="Times New Roman" w:cs="Times New Roman"/>
          <w:sz w:val="24"/>
          <w:szCs w:val="24"/>
          <w:lang w:val="it-IT"/>
        </w:rPr>
        <w:t>alocare 57.298.996,94 Euro,</w:t>
      </w:r>
      <w:r w:rsidR="001A0A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00F864CE" w14:textId="3C2EFFA4" w:rsidR="003B465F" w:rsidRPr="00765E88" w:rsidRDefault="003B465F" w:rsidP="001A0A4A">
      <w:pPr>
        <w:tabs>
          <w:tab w:val="left" w:pos="990"/>
          <w:tab w:val="left" w:pos="1080"/>
        </w:tabs>
        <w:ind w:right="46"/>
        <w:jc w:val="both"/>
      </w:pPr>
      <w:r w:rsidRPr="00765E88">
        <w:t>echivalent a 281.882.415,45 lei (aprox. 5.729 insule ecologice digitalizate)</w:t>
      </w:r>
      <w:r w:rsidR="001A0A4A">
        <w:t>;</w:t>
      </w:r>
    </w:p>
    <w:p w14:paraId="6839DF26" w14:textId="72120E8B" w:rsidR="003B465F" w:rsidRPr="00765E88" w:rsidRDefault="003B465F" w:rsidP="001A0A4A">
      <w:pPr>
        <w:pStyle w:val="ListParagraph"/>
        <w:numPr>
          <w:ilvl w:val="0"/>
          <w:numId w:val="9"/>
        </w:numPr>
        <w:tabs>
          <w:tab w:val="left" w:pos="990"/>
          <w:tab w:val="left" w:pos="1080"/>
        </w:tabs>
        <w:ind w:left="0" w:right="46" w:firstLine="63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65E88">
        <w:rPr>
          <w:rFonts w:ascii="Times New Roman" w:hAnsi="Times New Roman" w:cs="Times New Roman"/>
          <w:sz w:val="24"/>
          <w:szCs w:val="24"/>
          <w:lang w:val="it-IT"/>
        </w:rPr>
        <w:t>Insule supraterane cu containere individuale: alocare: 134.031.003,06 Euro, echivalent a 659.365.519</w:t>
      </w:r>
      <w:r w:rsidR="00765E88" w:rsidRPr="00765E8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765E88">
        <w:rPr>
          <w:rFonts w:ascii="Times New Roman" w:hAnsi="Times New Roman" w:cs="Times New Roman"/>
          <w:sz w:val="24"/>
          <w:szCs w:val="24"/>
          <w:lang w:val="it-IT"/>
        </w:rPr>
        <w:t>55 lei (aprox. 7.054 insule ecologice digitalizate)</w:t>
      </w:r>
      <w:r w:rsidR="001A0A4A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56563971" w14:textId="30773505" w:rsidR="003B465F" w:rsidRPr="00765E88" w:rsidRDefault="003B465F" w:rsidP="003B465F">
      <w:pPr>
        <w:pStyle w:val="ListParagraph"/>
        <w:numPr>
          <w:ilvl w:val="0"/>
          <w:numId w:val="9"/>
        </w:numPr>
        <w:tabs>
          <w:tab w:val="left" w:pos="990"/>
          <w:tab w:val="left" w:pos="1080"/>
        </w:tabs>
        <w:ind w:left="0" w:right="46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765E88">
        <w:rPr>
          <w:rFonts w:ascii="Times New Roman" w:hAnsi="Times New Roman" w:cs="Times New Roman"/>
          <w:sz w:val="24"/>
          <w:szCs w:val="24"/>
          <w:lang w:val="it-IT"/>
        </w:rPr>
        <w:t xml:space="preserve">Insule subterane cu containere individuale: alocare: 68.800.000 Euro, echivalent a 338.461.600 lei (aprox. </w:t>
      </w:r>
      <w:r w:rsidRPr="00765E88">
        <w:rPr>
          <w:rFonts w:ascii="Times New Roman" w:hAnsi="Times New Roman" w:cs="Times New Roman"/>
          <w:sz w:val="24"/>
          <w:szCs w:val="24"/>
        </w:rPr>
        <w:t xml:space="preserve">1.376 </w:t>
      </w:r>
      <w:proofErr w:type="spellStart"/>
      <w:r w:rsidRPr="00765E88">
        <w:rPr>
          <w:rFonts w:ascii="Times New Roman" w:hAnsi="Times New Roman" w:cs="Times New Roman"/>
          <w:sz w:val="24"/>
          <w:szCs w:val="24"/>
        </w:rPr>
        <w:t>insule</w:t>
      </w:r>
      <w:proofErr w:type="spellEnd"/>
      <w:r w:rsidRPr="00765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E88">
        <w:rPr>
          <w:rFonts w:ascii="Times New Roman" w:hAnsi="Times New Roman" w:cs="Times New Roman"/>
          <w:sz w:val="24"/>
          <w:szCs w:val="24"/>
        </w:rPr>
        <w:t>ecologice</w:t>
      </w:r>
      <w:proofErr w:type="spellEnd"/>
      <w:r w:rsidRPr="00765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E88">
        <w:rPr>
          <w:rFonts w:ascii="Times New Roman" w:hAnsi="Times New Roman" w:cs="Times New Roman"/>
          <w:sz w:val="24"/>
          <w:szCs w:val="24"/>
        </w:rPr>
        <w:t>digitalizate</w:t>
      </w:r>
      <w:proofErr w:type="spellEnd"/>
      <w:r w:rsidRPr="00765E8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CE08B63" w14:textId="5618F6F7" w:rsidR="003B465F" w:rsidRPr="00765E88" w:rsidRDefault="003B465F" w:rsidP="00765E88">
      <w:pPr>
        <w:ind w:right="46" w:firstLine="630"/>
        <w:jc w:val="both"/>
        <w:rPr>
          <w:lang w:val="it-IT"/>
        </w:rPr>
      </w:pPr>
      <w:r w:rsidRPr="00765E88">
        <w:t>Cursul valutar utilizat este cursul InforEuro aferent lunii mai 2021 de 1 euro = 4.9195 lei, valabil la data de 31.05.2021.</w:t>
      </w:r>
      <w:r w:rsidR="00765E88" w:rsidRPr="00765E88">
        <w:rPr>
          <w:lang w:val="it-IT"/>
        </w:rPr>
        <w:t>”</w:t>
      </w:r>
    </w:p>
    <w:p w14:paraId="74E2D056" w14:textId="3C5F69DB" w:rsidR="003B465F" w:rsidRPr="003B465F" w:rsidRDefault="003B465F" w:rsidP="00FD32F1">
      <w:pPr>
        <w:ind w:right="46"/>
        <w:jc w:val="both"/>
      </w:pPr>
    </w:p>
    <w:p w14:paraId="336CBEB7" w14:textId="6DDD493F" w:rsidR="003B465F" w:rsidRDefault="003B465F" w:rsidP="00FD32F1">
      <w:pPr>
        <w:ind w:right="46"/>
        <w:jc w:val="both"/>
      </w:pPr>
    </w:p>
    <w:p w14:paraId="5D4FDCC3" w14:textId="5BD50DD0" w:rsidR="003B465F" w:rsidRDefault="003B465F" w:rsidP="00FD32F1">
      <w:pPr>
        <w:ind w:right="46"/>
        <w:jc w:val="both"/>
      </w:pPr>
    </w:p>
    <w:p w14:paraId="177FD0C3" w14:textId="1D788768" w:rsidR="003B465F" w:rsidRDefault="003B465F" w:rsidP="00FD32F1">
      <w:pPr>
        <w:ind w:right="46"/>
        <w:jc w:val="both"/>
      </w:pPr>
    </w:p>
    <w:p w14:paraId="33EF6DF5" w14:textId="035A2D4B" w:rsidR="003B465F" w:rsidRDefault="003B465F" w:rsidP="00FD32F1">
      <w:pPr>
        <w:ind w:right="46"/>
        <w:jc w:val="both"/>
      </w:pPr>
    </w:p>
    <w:p w14:paraId="35884F31" w14:textId="4952E670" w:rsidR="003B465F" w:rsidRDefault="003B465F" w:rsidP="00FD32F1">
      <w:pPr>
        <w:ind w:right="46"/>
        <w:jc w:val="both"/>
      </w:pPr>
    </w:p>
    <w:p w14:paraId="633636C1" w14:textId="31DF82F9" w:rsidR="00591BB6" w:rsidRDefault="00591BB6" w:rsidP="00FD32F1">
      <w:pPr>
        <w:ind w:right="46"/>
        <w:jc w:val="both"/>
      </w:pPr>
    </w:p>
    <w:p w14:paraId="66B063C5" w14:textId="77777777" w:rsidR="00591BB6" w:rsidRPr="00591BB6" w:rsidRDefault="00591BB6" w:rsidP="00FD32F1">
      <w:pPr>
        <w:ind w:right="46"/>
        <w:jc w:val="both"/>
        <w:rPr>
          <w:lang w:val="it-IT"/>
        </w:rPr>
      </w:pPr>
    </w:p>
    <w:p w14:paraId="35685418" w14:textId="4F3E5ED7" w:rsidR="00CA6BF9" w:rsidRPr="00E82413" w:rsidRDefault="00FD32F1" w:rsidP="00FD32F1">
      <w:pPr>
        <w:ind w:right="46"/>
        <w:jc w:val="both"/>
        <w:rPr>
          <w:b/>
          <w:bCs/>
        </w:rPr>
      </w:pPr>
      <w:r w:rsidRPr="002E5169">
        <w:rPr>
          <w:b/>
        </w:rPr>
        <w:t xml:space="preserve">Art. </w:t>
      </w:r>
      <w:r w:rsidR="00AE0B8A">
        <w:rPr>
          <w:b/>
        </w:rPr>
        <w:t>II</w:t>
      </w:r>
      <w:bookmarkStart w:id="2" w:name="_GoBack"/>
      <w:bookmarkEnd w:id="2"/>
      <w:r>
        <w:t>. - Prezentul ordin se publică în Monitorul Oficial al României, Partea I.</w:t>
      </w:r>
    </w:p>
    <w:p w14:paraId="7E6EEC10" w14:textId="77777777" w:rsidR="00CA6BF9" w:rsidRPr="00E82413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/>
          <w:bCs/>
          <w:lang w:val="ro-RO"/>
        </w:rPr>
      </w:pPr>
    </w:p>
    <w:p w14:paraId="782ACD9B" w14:textId="57402A9B" w:rsidR="00CA6BF9" w:rsidRPr="00431E93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rPr>
          <w:b/>
          <w:bCs/>
          <w:lang w:val="ro-RO"/>
        </w:rPr>
      </w:pPr>
    </w:p>
    <w:p w14:paraId="1D1EA7C0" w14:textId="77777777" w:rsidR="00CA6BF9" w:rsidRDefault="00CA6BF9" w:rsidP="00CA6BF9">
      <w:pPr>
        <w:spacing w:line="360" w:lineRule="auto"/>
        <w:ind w:left="720" w:right="450"/>
        <w:jc w:val="center"/>
        <w:rPr>
          <w:b/>
        </w:rPr>
      </w:pPr>
      <w:r>
        <w:rPr>
          <w:b/>
        </w:rPr>
        <w:t>MINISTRUL MEDIULUI, APELOR ȘI PĂDURILOR</w:t>
      </w:r>
    </w:p>
    <w:p w14:paraId="3C163CF4" w14:textId="77777777" w:rsidR="00CA6BF9" w:rsidRPr="00431E93" w:rsidRDefault="00CA6BF9" w:rsidP="00CA6BF9">
      <w:pPr>
        <w:spacing w:line="360" w:lineRule="auto"/>
        <w:ind w:left="720" w:right="450"/>
        <w:jc w:val="center"/>
        <w:rPr>
          <w:b/>
        </w:rPr>
      </w:pPr>
    </w:p>
    <w:p w14:paraId="2316A3A6" w14:textId="3AFB0CED" w:rsidR="00CA6BF9" w:rsidRDefault="00CA6BF9" w:rsidP="00A50BB6">
      <w:pPr>
        <w:spacing w:line="360" w:lineRule="auto"/>
        <w:jc w:val="center"/>
        <w:rPr>
          <w:b/>
          <w:sz w:val="26"/>
          <w:szCs w:val="26"/>
        </w:rPr>
      </w:pPr>
      <w:r w:rsidRPr="00431E93">
        <w:rPr>
          <w:b/>
        </w:rPr>
        <w:t xml:space="preserve">    </w:t>
      </w:r>
      <w:r w:rsidR="00464117" w:rsidRPr="00464117">
        <w:rPr>
          <w:b/>
          <w:sz w:val="26"/>
          <w:szCs w:val="26"/>
        </w:rPr>
        <w:t>Barna TÁNCZOS</w:t>
      </w:r>
    </w:p>
    <w:p w14:paraId="4C2BAD20" w14:textId="1105783C" w:rsidR="00A50BB6" w:rsidRDefault="00A50BB6" w:rsidP="00A50BB6">
      <w:pPr>
        <w:spacing w:line="360" w:lineRule="auto"/>
        <w:jc w:val="center"/>
      </w:pPr>
    </w:p>
    <w:p w14:paraId="19E261DA" w14:textId="1CD0A9AF" w:rsidR="0028426E" w:rsidRDefault="0028426E" w:rsidP="00A50BB6">
      <w:pPr>
        <w:spacing w:line="360" w:lineRule="auto"/>
        <w:jc w:val="center"/>
      </w:pPr>
    </w:p>
    <w:p w14:paraId="0C0A6EFA" w14:textId="07501C7A" w:rsidR="0028426E" w:rsidRDefault="0028426E" w:rsidP="00A50BB6">
      <w:pPr>
        <w:spacing w:line="360" w:lineRule="auto"/>
        <w:jc w:val="center"/>
      </w:pPr>
    </w:p>
    <w:p w14:paraId="27613BE1" w14:textId="5842EC1F" w:rsidR="0028426E" w:rsidRDefault="0028426E" w:rsidP="00A50BB6">
      <w:pPr>
        <w:spacing w:line="360" w:lineRule="auto"/>
        <w:jc w:val="center"/>
      </w:pPr>
    </w:p>
    <w:p w14:paraId="1A6942BF" w14:textId="533258ED" w:rsidR="0028426E" w:rsidRDefault="0028426E" w:rsidP="00A50BB6">
      <w:pPr>
        <w:spacing w:line="360" w:lineRule="auto"/>
        <w:jc w:val="center"/>
      </w:pPr>
    </w:p>
    <w:p w14:paraId="4D8A5723" w14:textId="65B59D67" w:rsidR="0028426E" w:rsidRDefault="0028426E" w:rsidP="00A50BB6">
      <w:pPr>
        <w:spacing w:line="360" w:lineRule="auto"/>
        <w:jc w:val="center"/>
      </w:pPr>
    </w:p>
    <w:p w14:paraId="03645C74" w14:textId="3C3B6E10" w:rsidR="0017724D" w:rsidRDefault="0017724D" w:rsidP="00A50BB6">
      <w:pPr>
        <w:spacing w:line="360" w:lineRule="auto"/>
        <w:jc w:val="center"/>
      </w:pPr>
    </w:p>
    <w:p w14:paraId="4EFA1DD3" w14:textId="6C570277" w:rsidR="0017724D" w:rsidRDefault="0017724D" w:rsidP="00A50BB6">
      <w:pPr>
        <w:spacing w:line="360" w:lineRule="auto"/>
        <w:jc w:val="center"/>
      </w:pPr>
    </w:p>
    <w:p w14:paraId="61066EC3" w14:textId="4ED41F75" w:rsidR="0017724D" w:rsidRDefault="0017724D" w:rsidP="00A50BB6">
      <w:pPr>
        <w:spacing w:line="360" w:lineRule="auto"/>
        <w:jc w:val="center"/>
      </w:pPr>
    </w:p>
    <w:p w14:paraId="3AC7A591" w14:textId="18279241" w:rsidR="0017724D" w:rsidRDefault="0017724D" w:rsidP="00A50BB6">
      <w:pPr>
        <w:spacing w:line="360" w:lineRule="auto"/>
        <w:jc w:val="center"/>
      </w:pPr>
    </w:p>
    <w:p w14:paraId="412294A4" w14:textId="66AD26ED" w:rsidR="0017724D" w:rsidRDefault="0017724D" w:rsidP="00A50BB6">
      <w:pPr>
        <w:spacing w:line="360" w:lineRule="auto"/>
        <w:jc w:val="center"/>
      </w:pPr>
    </w:p>
    <w:p w14:paraId="1BBB39A7" w14:textId="789F7031" w:rsidR="0017724D" w:rsidRDefault="0017724D" w:rsidP="00A50BB6">
      <w:pPr>
        <w:spacing w:line="360" w:lineRule="auto"/>
        <w:jc w:val="center"/>
      </w:pPr>
    </w:p>
    <w:p w14:paraId="179FEE4E" w14:textId="6D85EC64" w:rsidR="0017724D" w:rsidRDefault="0017724D" w:rsidP="00A50BB6">
      <w:pPr>
        <w:spacing w:line="360" w:lineRule="auto"/>
        <w:jc w:val="center"/>
      </w:pPr>
    </w:p>
    <w:p w14:paraId="45CAB229" w14:textId="0C21B639" w:rsidR="0017724D" w:rsidRDefault="0017724D" w:rsidP="00A50BB6">
      <w:pPr>
        <w:spacing w:line="360" w:lineRule="auto"/>
        <w:jc w:val="center"/>
      </w:pPr>
    </w:p>
    <w:p w14:paraId="04586EB2" w14:textId="4F9B48CD" w:rsidR="0017724D" w:rsidRDefault="0017724D" w:rsidP="00A50BB6">
      <w:pPr>
        <w:spacing w:line="360" w:lineRule="auto"/>
        <w:jc w:val="center"/>
      </w:pPr>
    </w:p>
    <w:p w14:paraId="1344CBC6" w14:textId="514A229A" w:rsidR="0017724D" w:rsidRDefault="0017724D" w:rsidP="00A50BB6">
      <w:pPr>
        <w:spacing w:line="360" w:lineRule="auto"/>
        <w:jc w:val="center"/>
      </w:pPr>
    </w:p>
    <w:p w14:paraId="241E4636" w14:textId="38785E68" w:rsidR="0017724D" w:rsidRDefault="0017724D" w:rsidP="00A50BB6">
      <w:pPr>
        <w:spacing w:line="360" w:lineRule="auto"/>
        <w:jc w:val="center"/>
      </w:pPr>
    </w:p>
    <w:p w14:paraId="7CCA9EFC" w14:textId="04421646" w:rsidR="0017724D" w:rsidRDefault="0017724D" w:rsidP="00A50BB6">
      <w:pPr>
        <w:spacing w:line="360" w:lineRule="auto"/>
        <w:jc w:val="center"/>
      </w:pPr>
    </w:p>
    <w:p w14:paraId="765D1E1E" w14:textId="6D5968EB" w:rsidR="0017724D" w:rsidRDefault="0017724D" w:rsidP="00A50BB6">
      <w:pPr>
        <w:spacing w:line="360" w:lineRule="auto"/>
        <w:jc w:val="center"/>
      </w:pPr>
    </w:p>
    <w:p w14:paraId="1A1B01AD" w14:textId="191BF888" w:rsidR="0017724D" w:rsidRDefault="0017724D" w:rsidP="00A50BB6">
      <w:pPr>
        <w:spacing w:line="360" w:lineRule="auto"/>
        <w:jc w:val="center"/>
      </w:pPr>
    </w:p>
    <w:p w14:paraId="611A3319" w14:textId="4527410A" w:rsidR="0017724D" w:rsidRDefault="0017724D" w:rsidP="00A50BB6">
      <w:pPr>
        <w:spacing w:line="360" w:lineRule="auto"/>
        <w:jc w:val="center"/>
      </w:pPr>
    </w:p>
    <w:p w14:paraId="0DF6F93F" w14:textId="56C4ACD8" w:rsidR="0017724D" w:rsidRDefault="0017724D" w:rsidP="00A50BB6">
      <w:pPr>
        <w:spacing w:line="360" w:lineRule="auto"/>
        <w:jc w:val="center"/>
      </w:pPr>
    </w:p>
    <w:p w14:paraId="5227B4D5" w14:textId="58512B77" w:rsidR="0017724D" w:rsidRDefault="0017724D" w:rsidP="00A50BB6">
      <w:pPr>
        <w:spacing w:line="360" w:lineRule="auto"/>
        <w:jc w:val="center"/>
      </w:pPr>
    </w:p>
    <w:p w14:paraId="3CFD5723" w14:textId="5E04AA90" w:rsidR="0017724D" w:rsidRDefault="0017724D" w:rsidP="00A50BB6">
      <w:pPr>
        <w:spacing w:line="360" w:lineRule="auto"/>
        <w:jc w:val="center"/>
      </w:pPr>
    </w:p>
    <w:p w14:paraId="74102FC6" w14:textId="2C05BA7D" w:rsidR="0017724D" w:rsidRDefault="0017724D" w:rsidP="00A50BB6">
      <w:pPr>
        <w:spacing w:line="360" w:lineRule="auto"/>
        <w:jc w:val="center"/>
      </w:pPr>
    </w:p>
    <w:p w14:paraId="72D0151D" w14:textId="77777777" w:rsidR="0017724D" w:rsidRDefault="0017724D" w:rsidP="00A50BB6">
      <w:pPr>
        <w:spacing w:line="360" w:lineRule="auto"/>
        <w:jc w:val="center"/>
      </w:pPr>
    </w:p>
    <w:p w14:paraId="44EE75A8" w14:textId="26E5A710" w:rsidR="0028426E" w:rsidRDefault="0028426E" w:rsidP="00397394">
      <w:pPr>
        <w:spacing w:line="360" w:lineRule="auto"/>
      </w:pPr>
    </w:p>
    <w:p w14:paraId="147A3C4E" w14:textId="30684458" w:rsidR="0028426E" w:rsidRDefault="0028426E" w:rsidP="00A50BB6">
      <w:pPr>
        <w:spacing w:line="360" w:lineRule="auto"/>
        <w:jc w:val="center"/>
      </w:pPr>
    </w:p>
    <w:p w14:paraId="23A628B1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  <w:u w:val="single"/>
        </w:rPr>
      </w:pPr>
      <w:r>
        <w:rPr>
          <w:b/>
          <w:iCs/>
          <w:color w:val="000000" w:themeColor="text1"/>
          <w:u w:val="single"/>
        </w:rPr>
        <w:t xml:space="preserve">Avizat: </w:t>
      </w:r>
    </w:p>
    <w:p w14:paraId="3873C3BA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  <w:u w:val="single"/>
        </w:rPr>
      </w:pPr>
    </w:p>
    <w:p w14:paraId="4C287D9A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  <w:u w:val="single"/>
        </w:rPr>
      </w:pPr>
    </w:p>
    <w:p w14:paraId="48675E47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Secretar de Stat</w:t>
      </w:r>
    </w:p>
    <w:p w14:paraId="4098A1C2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Róbert-Eugen SZÉP</w:t>
      </w:r>
    </w:p>
    <w:p w14:paraId="3A8272C2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397949CE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7D1128B1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16530BBC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Secretar General </w:t>
      </w:r>
    </w:p>
    <w:p w14:paraId="0AF5E179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Corvin NEDELCU</w:t>
      </w:r>
    </w:p>
    <w:p w14:paraId="15D79EF3" w14:textId="01BDCBB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693CEBC4" w14:textId="77777777" w:rsidR="0017724D" w:rsidRDefault="0017724D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0BF98867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127D0514" w14:textId="77777777" w:rsidR="007C170C" w:rsidRDefault="007C170C" w:rsidP="007C170C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Secretar General Adjunct  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  <w:t>Secretar General Adjunct</w:t>
      </w:r>
    </w:p>
    <w:p w14:paraId="61389905" w14:textId="36F4AD44" w:rsidR="007C170C" w:rsidRDefault="007C170C" w:rsidP="007C170C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Teodor DULCEAȚĂ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  <w:t xml:space="preserve">  Miha</w:t>
      </w:r>
      <w:r w:rsidR="00D92415">
        <w:rPr>
          <w:b/>
          <w:iCs/>
          <w:color w:val="000000" w:themeColor="text1"/>
        </w:rPr>
        <w:t>i</w:t>
      </w:r>
      <w:r>
        <w:rPr>
          <w:b/>
          <w:iCs/>
          <w:color w:val="000000" w:themeColor="text1"/>
        </w:rPr>
        <w:t>ela FRĂSINEANU</w:t>
      </w:r>
    </w:p>
    <w:p w14:paraId="718A0303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56A28F03" w14:textId="33C6F338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726D8495" w14:textId="6E842EC7" w:rsidR="0017724D" w:rsidRDefault="0017724D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600382CD" w14:textId="77777777" w:rsidR="0017724D" w:rsidRDefault="0017724D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355548EC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23DB4F9E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Direcția Generală Resurse Umane, Juridică și Relația cu Parlamentul</w:t>
      </w:r>
    </w:p>
    <w:p w14:paraId="2F8A179F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Cristina Elena DUMITRESCU, Director general</w:t>
      </w:r>
    </w:p>
    <w:p w14:paraId="5FB90394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5575B4EF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1FAB2631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03E4F8D3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Direcția Generală Deșeuri și Situri Contaminate</w:t>
      </w:r>
    </w:p>
    <w:p w14:paraId="022A7406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Cosmin TEODORU, Director general</w:t>
      </w:r>
    </w:p>
    <w:p w14:paraId="31B1B497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0969D75C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3C778803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50A9BFA5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Direcția Generală  Planul Național de Redresare și Reziliență</w:t>
      </w:r>
    </w:p>
    <w:p w14:paraId="1B29EDA4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George TURTOI, Director general </w:t>
      </w:r>
    </w:p>
    <w:p w14:paraId="328E781B" w14:textId="57A46993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59730EEF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1EA2813F" w14:textId="612DB890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320E4E8B" w14:textId="69E8095A" w:rsidR="0017724D" w:rsidRDefault="0017724D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22F37EDE" w14:textId="77777777" w:rsidR="0017724D" w:rsidRDefault="0017724D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150DDA1E" w14:textId="77777777" w:rsidR="002805ED" w:rsidRDefault="002805ED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5B4514C4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Întocmit: Ana-Luiza DOMNIȚEANU </w:t>
      </w:r>
    </w:p>
    <w:p w14:paraId="043A9CF7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                consilier juridic, Biroul Juridic și Soluționare Contestații, DGPNRR</w:t>
      </w:r>
    </w:p>
    <w:p w14:paraId="2B12ACCD" w14:textId="77777777" w:rsidR="0028426E" w:rsidRDefault="0028426E" w:rsidP="00A50BB6">
      <w:pPr>
        <w:spacing w:line="360" w:lineRule="auto"/>
        <w:jc w:val="center"/>
      </w:pPr>
    </w:p>
    <w:sectPr w:rsidR="0028426E" w:rsidSect="003B0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900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60130" w14:textId="77777777" w:rsidR="000D6C04" w:rsidRDefault="000D6C04" w:rsidP="00A50BB6">
      <w:r>
        <w:separator/>
      </w:r>
    </w:p>
  </w:endnote>
  <w:endnote w:type="continuationSeparator" w:id="0">
    <w:p w14:paraId="55B0CD80" w14:textId="77777777" w:rsidR="000D6C04" w:rsidRDefault="000D6C04" w:rsidP="00A5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3CC95" w14:textId="77777777" w:rsidR="000D1716" w:rsidRDefault="000D17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2AA44" w14:textId="77777777" w:rsidR="000D1716" w:rsidRDefault="000D17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AF0BA" w14:textId="77777777" w:rsidR="000D1716" w:rsidRDefault="000D1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29C19" w14:textId="77777777" w:rsidR="000D6C04" w:rsidRDefault="000D6C04" w:rsidP="00A50BB6">
      <w:r>
        <w:separator/>
      </w:r>
    </w:p>
  </w:footnote>
  <w:footnote w:type="continuationSeparator" w:id="0">
    <w:p w14:paraId="2467DB22" w14:textId="77777777" w:rsidR="000D6C04" w:rsidRDefault="000D6C04" w:rsidP="00A50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1B783" w14:textId="08445F76" w:rsidR="00A50BB6" w:rsidRDefault="00A50B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456689"/>
      <w:docPartObj>
        <w:docPartGallery w:val="Watermarks"/>
        <w:docPartUnique/>
      </w:docPartObj>
    </w:sdtPr>
    <w:sdtEndPr/>
    <w:sdtContent>
      <w:p w14:paraId="6C58ADC4" w14:textId="1E26AD7E" w:rsidR="00A50BB6" w:rsidRDefault="000D6C04">
        <w:pPr>
          <w:pStyle w:val="Header"/>
        </w:pPr>
        <w:r>
          <w:rPr>
            <w:noProof/>
          </w:rPr>
          <w:pict w14:anchorId="3EE25C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5967939" o:spid="_x0000_s2049" type="#_x0000_t136" style="position:absolute;margin-left:0;margin-top:0;width:489.65pt;height:20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C28C9" w14:textId="2D71F803" w:rsidR="00A50BB6" w:rsidRDefault="00A50B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BC7"/>
    <w:multiLevelType w:val="hybridMultilevel"/>
    <w:tmpl w:val="00FAE61E"/>
    <w:lvl w:ilvl="0" w:tplc="C8108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4B78"/>
    <w:multiLevelType w:val="hybridMultilevel"/>
    <w:tmpl w:val="1214EDCE"/>
    <w:lvl w:ilvl="0" w:tplc="07221D8E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868D2"/>
    <w:multiLevelType w:val="hybridMultilevel"/>
    <w:tmpl w:val="CF6E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B5EE0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00CC6"/>
    <w:multiLevelType w:val="hybridMultilevel"/>
    <w:tmpl w:val="6D56F21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B7440C"/>
    <w:multiLevelType w:val="hybridMultilevel"/>
    <w:tmpl w:val="5C5E1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15D49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01447"/>
    <w:multiLevelType w:val="hybridMultilevel"/>
    <w:tmpl w:val="221E2C54"/>
    <w:lvl w:ilvl="0" w:tplc="D54432F8">
      <w:start w:val="1"/>
      <w:numFmt w:val="lowerLetter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F9"/>
    <w:rsid w:val="00045DE8"/>
    <w:rsid w:val="00064A54"/>
    <w:rsid w:val="0007506F"/>
    <w:rsid w:val="000D1716"/>
    <w:rsid w:val="000D6C04"/>
    <w:rsid w:val="00115D98"/>
    <w:rsid w:val="001369AD"/>
    <w:rsid w:val="0017422D"/>
    <w:rsid w:val="0017724D"/>
    <w:rsid w:val="001A0A4A"/>
    <w:rsid w:val="00200FFD"/>
    <w:rsid w:val="00222AD8"/>
    <w:rsid w:val="002805ED"/>
    <w:rsid w:val="0028426E"/>
    <w:rsid w:val="002A174D"/>
    <w:rsid w:val="002E5169"/>
    <w:rsid w:val="002E551A"/>
    <w:rsid w:val="002E5EDE"/>
    <w:rsid w:val="00373F24"/>
    <w:rsid w:val="00390CC5"/>
    <w:rsid w:val="00390DD9"/>
    <w:rsid w:val="00393EFF"/>
    <w:rsid w:val="00397394"/>
    <w:rsid w:val="003A027B"/>
    <w:rsid w:val="003B0A1F"/>
    <w:rsid w:val="003B465F"/>
    <w:rsid w:val="003D5038"/>
    <w:rsid w:val="00404A97"/>
    <w:rsid w:val="004166C6"/>
    <w:rsid w:val="00454E28"/>
    <w:rsid w:val="0046176B"/>
    <w:rsid w:val="00464117"/>
    <w:rsid w:val="004C2C1C"/>
    <w:rsid w:val="004D3649"/>
    <w:rsid w:val="0055062D"/>
    <w:rsid w:val="0058154E"/>
    <w:rsid w:val="00591BB6"/>
    <w:rsid w:val="005A62B6"/>
    <w:rsid w:val="005B58AA"/>
    <w:rsid w:val="005D0F97"/>
    <w:rsid w:val="005E0F48"/>
    <w:rsid w:val="005E54C8"/>
    <w:rsid w:val="0060283D"/>
    <w:rsid w:val="0061754B"/>
    <w:rsid w:val="00646AF1"/>
    <w:rsid w:val="00690558"/>
    <w:rsid w:val="006925AE"/>
    <w:rsid w:val="006C3068"/>
    <w:rsid w:val="006E6539"/>
    <w:rsid w:val="00765E88"/>
    <w:rsid w:val="0077630F"/>
    <w:rsid w:val="007C170C"/>
    <w:rsid w:val="007F4FD6"/>
    <w:rsid w:val="008539A5"/>
    <w:rsid w:val="00892475"/>
    <w:rsid w:val="008A0A62"/>
    <w:rsid w:val="008E1AEA"/>
    <w:rsid w:val="008F26E8"/>
    <w:rsid w:val="0090169F"/>
    <w:rsid w:val="009473FE"/>
    <w:rsid w:val="009858BD"/>
    <w:rsid w:val="009D17DD"/>
    <w:rsid w:val="00A0259B"/>
    <w:rsid w:val="00A25D28"/>
    <w:rsid w:val="00A50BB6"/>
    <w:rsid w:val="00A545D8"/>
    <w:rsid w:val="00A55958"/>
    <w:rsid w:val="00A6080C"/>
    <w:rsid w:val="00AC3EB2"/>
    <w:rsid w:val="00AE0B8A"/>
    <w:rsid w:val="00AE3516"/>
    <w:rsid w:val="00B5459A"/>
    <w:rsid w:val="00B628CF"/>
    <w:rsid w:val="00BA5B7F"/>
    <w:rsid w:val="00BB1001"/>
    <w:rsid w:val="00BE4849"/>
    <w:rsid w:val="00BF356C"/>
    <w:rsid w:val="00C13507"/>
    <w:rsid w:val="00C23812"/>
    <w:rsid w:val="00C422C9"/>
    <w:rsid w:val="00C87895"/>
    <w:rsid w:val="00C9018B"/>
    <w:rsid w:val="00CA6BF9"/>
    <w:rsid w:val="00D10D17"/>
    <w:rsid w:val="00D514CD"/>
    <w:rsid w:val="00D6327D"/>
    <w:rsid w:val="00D92415"/>
    <w:rsid w:val="00DD1013"/>
    <w:rsid w:val="00DD3C93"/>
    <w:rsid w:val="00E06C24"/>
    <w:rsid w:val="00E232E3"/>
    <w:rsid w:val="00E35CA3"/>
    <w:rsid w:val="00E37960"/>
    <w:rsid w:val="00E54987"/>
    <w:rsid w:val="00E55ED1"/>
    <w:rsid w:val="00E72AA4"/>
    <w:rsid w:val="00E86915"/>
    <w:rsid w:val="00ED0797"/>
    <w:rsid w:val="00ED0F8C"/>
    <w:rsid w:val="00F816F7"/>
    <w:rsid w:val="00FC4119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7EA03C"/>
  <w15:chartTrackingRefBased/>
  <w15:docId w15:val="{32EA947D-471C-4928-9E22-A2CC21C2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A6BF9"/>
    <w:rPr>
      <w:sz w:val="24"/>
      <w:szCs w:val="24"/>
    </w:rPr>
  </w:style>
  <w:style w:type="paragraph" w:styleId="Header">
    <w:name w:val="header"/>
    <w:basedOn w:val="Normal"/>
    <w:link w:val="HeaderChar"/>
    <w:rsid w:val="00CA6BF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AntetCaracter1">
    <w:name w:val="Antet Caracter1"/>
    <w:basedOn w:val="DefaultParagraphFont"/>
    <w:uiPriority w:val="99"/>
    <w:semiHidden/>
    <w:rsid w:val="00CA6BF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aliases w:val="Akapit z listą BS,Outlines a.b.c.,List_Paragraph,Multilevel para_II,Akapit z lista BS,List Paragraph1,Normal bullet 2,numbered list,2,OBC Bullet,Normal 1,Task Body,Viñetas (Inicio Parrafo),Paragrafo elenco,3 Txt tabla,Zerrenda-paragrafoa"/>
    <w:basedOn w:val="Normal"/>
    <w:link w:val="ListParagraphChar"/>
    <w:uiPriority w:val="34"/>
    <w:qFormat/>
    <w:rsid w:val="00CA6BF9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A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50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BB6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numbered list Char,2 Char,OBC Bullet Char,Normal 1 Char,Task Body Char"/>
    <w:link w:val="ListParagraph"/>
    <w:uiPriority w:val="34"/>
    <w:qFormat/>
    <w:locked/>
    <w:rsid w:val="00ED0F8C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C4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Monica.Popescu</dc:creator>
  <cp:keywords/>
  <dc:description/>
  <cp:lastModifiedBy>Denisa Rugina</cp:lastModifiedBy>
  <cp:revision>4</cp:revision>
  <cp:lastPrinted>2022-11-24T11:06:00Z</cp:lastPrinted>
  <dcterms:created xsi:type="dcterms:W3CDTF">2022-11-22T13:58:00Z</dcterms:created>
  <dcterms:modified xsi:type="dcterms:W3CDTF">2022-11-24T11:07:00Z</dcterms:modified>
</cp:coreProperties>
</file>