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5E0" w14:textId="305143D6" w:rsidR="000A629B" w:rsidRDefault="008B39B5">
      <w:pPr>
        <w:spacing w:after="16" w:line="259" w:lineRule="auto"/>
        <w:ind w:firstLine="0"/>
        <w:jc w:val="left"/>
      </w:pPr>
      <w:r>
        <w:t>Nr. ................../............................</w:t>
      </w:r>
    </w:p>
    <w:p w14:paraId="34060BE0" w14:textId="77777777" w:rsidR="000A629B" w:rsidRDefault="00000000">
      <w:pPr>
        <w:spacing w:after="26" w:line="259" w:lineRule="auto"/>
        <w:ind w:firstLine="0"/>
        <w:jc w:val="left"/>
      </w:pPr>
      <w:r>
        <w:t xml:space="preserve"> </w:t>
      </w:r>
    </w:p>
    <w:p w14:paraId="6702609F" w14:textId="77777777" w:rsidR="000A629B" w:rsidRDefault="000A629B">
      <w:pPr>
        <w:pStyle w:val="Heading1"/>
        <w:spacing w:line="276" w:lineRule="auto"/>
        <w:rPr>
          <w:szCs w:val="26"/>
        </w:rPr>
      </w:pPr>
    </w:p>
    <w:p w14:paraId="6141A234" w14:textId="5F915257" w:rsidR="000A629B" w:rsidRDefault="00000000" w:rsidP="008F2674">
      <w:pPr>
        <w:pStyle w:val="Heading1"/>
        <w:spacing w:line="276" w:lineRule="auto"/>
        <w:rPr>
          <w:szCs w:val="26"/>
        </w:rPr>
      </w:pPr>
      <w:r>
        <w:rPr>
          <w:szCs w:val="26"/>
        </w:rPr>
        <w:t>REFERAT DE APROBARE</w:t>
      </w:r>
    </w:p>
    <w:p w14:paraId="018A738A" w14:textId="5F411A0D" w:rsidR="008F2674" w:rsidRPr="008F2674" w:rsidRDefault="008F2674" w:rsidP="008F2674">
      <w:pPr>
        <w:jc w:val="center"/>
      </w:pPr>
      <w:r>
        <w:t>privind</w:t>
      </w:r>
    </w:p>
    <w:p w14:paraId="75D939E5" w14:textId="47784816" w:rsidR="000A629B" w:rsidRDefault="00F33E3A" w:rsidP="00F33E3A">
      <w:pPr>
        <w:spacing w:after="17" w:line="276" w:lineRule="auto"/>
        <w:ind w:right="420" w:firstLine="0"/>
        <w:jc w:val="center"/>
        <w:rPr>
          <w:b/>
          <w:i/>
          <w:szCs w:val="26"/>
        </w:rPr>
      </w:pPr>
      <w:r w:rsidRPr="00F33E3A">
        <w:rPr>
          <w:b/>
          <w:i/>
          <w:szCs w:val="26"/>
        </w:rPr>
        <w:t>Lista programelor care se implementează pe bază de contract de delegare încheiat cu unităţile administrativ-teritoriale sau cu subdiviziunile administrativ-teritoriale ale municipiilor</w:t>
      </w:r>
    </w:p>
    <w:p w14:paraId="6C724BBB" w14:textId="77777777" w:rsidR="00F33E3A" w:rsidRDefault="00F33E3A" w:rsidP="00F33E3A">
      <w:pPr>
        <w:spacing w:after="17" w:line="276" w:lineRule="auto"/>
        <w:ind w:right="420" w:firstLine="0"/>
        <w:jc w:val="center"/>
        <w:rPr>
          <w:szCs w:val="26"/>
        </w:rPr>
      </w:pPr>
    </w:p>
    <w:p w14:paraId="298F03FF" w14:textId="34AD86FC" w:rsidR="000A629B" w:rsidRDefault="00000000">
      <w:pPr>
        <w:autoSpaceDE w:val="0"/>
        <w:autoSpaceDN w:val="0"/>
        <w:adjustRightInd w:val="0"/>
        <w:spacing w:after="0" w:line="276" w:lineRule="auto"/>
        <w:rPr>
          <w:szCs w:val="26"/>
        </w:rPr>
      </w:pPr>
      <w:r>
        <w:rPr>
          <w:szCs w:val="26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 w:rsidRPr="00F81E15">
        <w:rPr>
          <w:i/>
          <w:iCs/>
          <w:szCs w:val="26"/>
        </w:rPr>
        <w:t xml:space="preserve">proiectului de Ordin pentru aprobarea </w:t>
      </w:r>
      <w:r w:rsidR="00C83100" w:rsidRPr="00C83100">
        <w:rPr>
          <w:i/>
          <w:iCs/>
          <w:szCs w:val="26"/>
        </w:rPr>
        <w:t>List</w:t>
      </w:r>
      <w:r w:rsidR="00C83100">
        <w:rPr>
          <w:i/>
          <w:iCs/>
          <w:szCs w:val="26"/>
        </w:rPr>
        <w:t>ei</w:t>
      </w:r>
      <w:r w:rsidR="00C83100" w:rsidRPr="00C83100">
        <w:rPr>
          <w:i/>
          <w:iCs/>
          <w:szCs w:val="26"/>
        </w:rPr>
        <w:t xml:space="preserve"> programelor care se implementează pe bază de contract de delegare încheiat cu unităţile administrativ-teritoriale sau cu subdiviziunile administrativ-teritoriale ale municipiilor</w:t>
      </w:r>
      <w:r w:rsidR="00C83100">
        <w:rPr>
          <w:i/>
          <w:iCs/>
          <w:szCs w:val="26"/>
        </w:rPr>
        <w:t>.</w:t>
      </w:r>
    </w:p>
    <w:p w14:paraId="0469C68C" w14:textId="7E81F87F" w:rsidR="000A629B" w:rsidRPr="00A215C3" w:rsidRDefault="00000000" w:rsidP="00A215C3">
      <w:pPr>
        <w:spacing w:after="38" w:line="276" w:lineRule="auto"/>
        <w:ind w:left="-15"/>
        <w:rPr>
          <w:szCs w:val="26"/>
        </w:rPr>
      </w:pPr>
      <w:r>
        <w:rPr>
          <w:b/>
          <w:szCs w:val="26"/>
        </w:rPr>
        <w:t>Baza legală a proiectului de ordin supus aprobării</w:t>
      </w:r>
      <w:r>
        <w:rPr>
          <w:szCs w:val="26"/>
        </w:rPr>
        <w:t xml:space="preserve"> o constituie prevederile </w:t>
      </w:r>
      <w:r>
        <w:rPr>
          <w:szCs w:val="26"/>
        </w:rPr>
        <w:br/>
      </w:r>
      <w:r w:rsidR="00824562" w:rsidRPr="00824562">
        <w:rPr>
          <w:szCs w:val="26"/>
        </w:rPr>
        <w:t>art. 13^1 alin. (1) din Ordonanţa de urgenţă a Guvernului nr. 196/2005 privind Fondul pentru mediu, aprobată cu modificări şi completări prin Legea nr. 105/2006, cu modificările şi completările ulterioare</w:t>
      </w:r>
      <w:r>
        <w:rPr>
          <w:szCs w:val="26"/>
        </w:rPr>
        <w:t xml:space="preserve">, </w:t>
      </w:r>
      <w:r w:rsidR="00A215C3">
        <w:rPr>
          <w:szCs w:val="26"/>
        </w:rPr>
        <w:t>potrivit cărora</w:t>
      </w:r>
      <w:r w:rsidR="005A50A2">
        <w:rPr>
          <w:szCs w:val="26"/>
        </w:rPr>
        <w:t xml:space="preserve"> </w:t>
      </w:r>
      <w:r>
        <w:rPr>
          <w:szCs w:val="26"/>
        </w:rPr>
        <w:t>”</w:t>
      </w:r>
      <w:r w:rsidR="005A50A2" w:rsidRPr="005A50A2">
        <w:rPr>
          <w:i/>
          <w:iCs/>
          <w:szCs w:val="26"/>
        </w:rPr>
        <w:t xml:space="preserve">(1) Lista programelor/proiectelor, prevăzute la art. 3 alin. (4^1), care se implementează pe bază de contract de delegare încheiat cu unităţile administrativ-teritoriale sau cu subdiviziunile administrativ-teritoriale ale municipiilor </w:t>
      </w:r>
      <w:r w:rsidR="005A50A2" w:rsidRPr="0009524C">
        <w:rPr>
          <w:i/>
          <w:iCs/>
          <w:szCs w:val="26"/>
          <w:u w:val="single"/>
        </w:rPr>
        <w:t>se aprobă prin ordin al ministrului autorităţii centrale pentru mediu</w:t>
      </w:r>
      <w:r w:rsidR="005A50A2" w:rsidRPr="005A50A2">
        <w:rPr>
          <w:i/>
          <w:iCs/>
          <w:szCs w:val="26"/>
        </w:rPr>
        <w:t>, cu consultarea structurilor asociative ale administraţiei publice locale</w:t>
      </w:r>
      <w:r>
        <w:rPr>
          <w:szCs w:val="26"/>
        </w:rPr>
        <w:t>.”</w:t>
      </w:r>
    </w:p>
    <w:p w14:paraId="68F2A71F" w14:textId="3575A1BF" w:rsidR="000A629B" w:rsidRDefault="00000000">
      <w:pPr>
        <w:spacing w:line="276" w:lineRule="auto"/>
        <w:ind w:firstLine="708"/>
        <w:rPr>
          <w:szCs w:val="26"/>
        </w:rPr>
      </w:pPr>
      <w:r>
        <w:rPr>
          <w:b/>
          <w:szCs w:val="26"/>
        </w:rPr>
        <w:t>Rațiunea juridică a</w:t>
      </w:r>
      <w:r>
        <w:rPr>
          <w:szCs w:val="26"/>
        </w:rPr>
        <w:t xml:space="preserve"> </w:t>
      </w:r>
      <w:r>
        <w:rPr>
          <w:b/>
          <w:szCs w:val="26"/>
        </w:rPr>
        <w:t>proiectului de ordin supus aprobării</w:t>
      </w:r>
      <w:r>
        <w:rPr>
          <w:i/>
          <w:szCs w:val="26"/>
        </w:rPr>
        <w:t xml:space="preserve"> </w:t>
      </w:r>
      <w:r>
        <w:rPr>
          <w:szCs w:val="26"/>
        </w:rPr>
        <w:t xml:space="preserve">este determinată de necesitatea asigurării cadrului legal </w:t>
      </w:r>
      <w:r w:rsidR="00D56CFE">
        <w:rPr>
          <w:szCs w:val="26"/>
        </w:rPr>
        <w:t xml:space="preserve">pentru </w:t>
      </w:r>
      <w:r w:rsidR="00F473B3">
        <w:rPr>
          <w:szCs w:val="26"/>
        </w:rPr>
        <w:t xml:space="preserve">aplicarea prevederilor de la </w:t>
      </w:r>
      <w:r w:rsidR="00784D70">
        <w:rPr>
          <w:szCs w:val="26"/>
        </w:rPr>
        <w:t xml:space="preserve">art. 3 alin. </w:t>
      </w:r>
      <w:r w:rsidR="00D56CFE" w:rsidRPr="00D56CFE">
        <w:rPr>
          <w:szCs w:val="26"/>
        </w:rPr>
        <w:t>(4^1)</w:t>
      </w:r>
      <w:r w:rsidR="00784D70">
        <w:rPr>
          <w:szCs w:val="26"/>
        </w:rPr>
        <w:t xml:space="preserve"> din </w:t>
      </w:r>
      <w:r w:rsidR="00784D70" w:rsidRPr="00784D70">
        <w:rPr>
          <w:szCs w:val="26"/>
        </w:rPr>
        <w:t>Ordonanţa de urgenţă a Guvernului nr. 196/2005</w:t>
      </w:r>
      <w:r w:rsidR="00784D70">
        <w:rPr>
          <w:szCs w:val="26"/>
        </w:rPr>
        <w:t>,</w:t>
      </w:r>
      <w:r w:rsidR="00784D70" w:rsidRPr="00784D70">
        <w:rPr>
          <w:szCs w:val="26"/>
        </w:rPr>
        <w:t xml:space="preserve"> cu modificările şi completările ulterioare, </w:t>
      </w:r>
      <w:r w:rsidR="00784D70">
        <w:rPr>
          <w:szCs w:val="26"/>
        </w:rPr>
        <w:t>conform cărora ”</w:t>
      </w:r>
      <w:r w:rsidR="00D56CFE" w:rsidRPr="00D56CFE">
        <w:rPr>
          <w:szCs w:val="26"/>
        </w:rPr>
        <w:t xml:space="preserve"> </w:t>
      </w:r>
      <w:r w:rsidR="00784D70" w:rsidRPr="00784D70">
        <w:rPr>
          <w:i/>
          <w:iCs/>
          <w:szCs w:val="26"/>
        </w:rPr>
        <w:t xml:space="preserve">(4^1) </w:t>
      </w:r>
      <w:r w:rsidR="00D56CFE" w:rsidRPr="00784D70">
        <w:rPr>
          <w:i/>
          <w:iCs/>
          <w:szCs w:val="26"/>
        </w:rPr>
        <w:t>În exercitarea atribuţiilor de la alin. (3) lit. d), Administraţia Fondului poate colabora cu unităţile administrativ-teritoriale sau cu subdiviziunile administrativ-teritoriale ale municipiilor, prin contracte de delegare multianuale încheiate cu acestea, în vederea derulării în comun a proiectelor şi programelor pentru protecţia mediului care au ca beneficiari finali ai finanţării din Fondul pentru mediu persoane fizice</w:t>
      </w:r>
      <w:r w:rsidR="00784D70">
        <w:rPr>
          <w:szCs w:val="26"/>
        </w:rPr>
        <w:t>”</w:t>
      </w:r>
      <w:r w:rsidR="00D56CFE" w:rsidRPr="00D56CFE">
        <w:rPr>
          <w:szCs w:val="26"/>
        </w:rPr>
        <w:t>.</w:t>
      </w:r>
    </w:p>
    <w:p w14:paraId="31CDBDC6" w14:textId="6DCF1ED3" w:rsidR="00A832AA" w:rsidRDefault="00000000">
      <w:pPr>
        <w:autoSpaceDE w:val="0"/>
        <w:autoSpaceDN w:val="0"/>
        <w:adjustRightInd w:val="0"/>
        <w:spacing w:after="0" w:line="276" w:lineRule="auto"/>
        <w:ind w:firstLine="708"/>
        <w:rPr>
          <w:i/>
          <w:iCs/>
          <w:szCs w:val="26"/>
        </w:rPr>
      </w:pPr>
      <w:r>
        <w:rPr>
          <w:szCs w:val="26"/>
        </w:rPr>
        <w:t xml:space="preserve"> </w:t>
      </w:r>
      <w:r>
        <w:rPr>
          <w:b/>
          <w:szCs w:val="26"/>
        </w:rPr>
        <w:t xml:space="preserve">În fapt, </w:t>
      </w:r>
      <w:r>
        <w:rPr>
          <w:szCs w:val="26"/>
        </w:rPr>
        <w:t xml:space="preserve">prin </w:t>
      </w:r>
      <w:r w:rsidR="00A83AA0">
        <w:rPr>
          <w:szCs w:val="26"/>
        </w:rPr>
        <w:t xml:space="preserve">proiectul de ordin se </w:t>
      </w:r>
      <w:r w:rsidR="00401392">
        <w:rPr>
          <w:szCs w:val="26"/>
        </w:rPr>
        <w:t xml:space="preserve">propune </w:t>
      </w:r>
      <w:r w:rsidR="002F5E1C">
        <w:rPr>
          <w:szCs w:val="26"/>
        </w:rPr>
        <w:t>derularea prin intermediul</w:t>
      </w:r>
      <w:r w:rsidR="002F5E1C" w:rsidRPr="002F5E1C">
        <w:t xml:space="preserve"> </w:t>
      </w:r>
      <w:r w:rsidR="002F5E1C" w:rsidRPr="002F5E1C">
        <w:rPr>
          <w:szCs w:val="26"/>
        </w:rPr>
        <w:t>unităţil</w:t>
      </w:r>
      <w:r w:rsidR="002F5E1C">
        <w:rPr>
          <w:szCs w:val="26"/>
        </w:rPr>
        <w:t>or</w:t>
      </w:r>
      <w:r w:rsidR="002F5E1C" w:rsidRPr="002F5E1C">
        <w:rPr>
          <w:szCs w:val="26"/>
        </w:rPr>
        <w:t xml:space="preserve"> administrativ-teritoriale </w:t>
      </w:r>
      <w:r w:rsidR="00A832AA">
        <w:rPr>
          <w:szCs w:val="26"/>
        </w:rPr>
        <w:t>și/</w:t>
      </w:r>
      <w:r w:rsidR="002F5E1C" w:rsidRPr="002F5E1C">
        <w:rPr>
          <w:szCs w:val="26"/>
        </w:rPr>
        <w:t>sau</w:t>
      </w:r>
      <w:r w:rsidR="00A832AA">
        <w:rPr>
          <w:szCs w:val="26"/>
        </w:rPr>
        <w:t xml:space="preserve"> a</w:t>
      </w:r>
      <w:r w:rsidR="002F5E1C" w:rsidRPr="002F5E1C">
        <w:rPr>
          <w:szCs w:val="26"/>
        </w:rPr>
        <w:t xml:space="preserve"> subdiviziunil</w:t>
      </w:r>
      <w:r w:rsidR="00A832AA">
        <w:rPr>
          <w:szCs w:val="26"/>
        </w:rPr>
        <w:t>or</w:t>
      </w:r>
      <w:r w:rsidR="002F5E1C" w:rsidRPr="002F5E1C">
        <w:rPr>
          <w:szCs w:val="26"/>
        </w:rPr>
        <w:t xml:space="preserve"> administrativ-teritoriale ale municipiilor</w:t>
      </w:r>
      <w:r w:rsidR="0054516B">
        <w:rPr>
          <w:szCs w:val="26"/>
        </w:rPr>
        <w:t xml:space="preserve">, în baza contractelor de delegare încheiate cu acestea, a două programe: </w:t>
      </w:r>
      <w:r w:rsidR="002F5E1C">
        <w:rPr>
          <w:szCs w:val="26"/>
        </w:rPr>
        <w:t xml:space="preserve"> </w:t>
      </w:r>
      <w:r w:rsidR="0054516B" w:rsidRPr="0054516B">
        <w:rPr>
          <w:i/>
          <w:iCs/>
          <w:szCs w:val="26"/>
        </w:rPr>
        <w:t xml:space="preserve">Programul privind casarea autovehiculelor uzate </w:t>
      </w:r>
      <w:r w:rsidR="0054516B">
        <w:rPr>
          <w:szCs w:val="26"/>
        </w:rPr>
        <w:t>și</w:t>
      </w:r>
      <w:r w:rsidR="0054516B" w:rsidRPr="0054516B">
        <w:t xml:space="preserve"> </w:t>
      </w:r>
      <w:r w:rsidR="0054516B" w:rsidRPr="0054516B">
        <w:rPr>
          <w:i/>
          <w:iCs/>
          <w:szCs w:val="26"/>
        </w:rPr>
        <w:t>Programul privind instalarea sistemelor de panouri fotovoltaice pentru producerea de energie electrică, în vederea acoperirii necesarului de consum şi livrării surplusului în reţeaua naţională</w:t>
      </w:r>
      <w:r w:rsidR="0054516B">
        <w:rPr>
          <w:i/>
          <w:iCs/>
          <w:szCs w:val="26"/>
        </w:rPr>
        <w:t>.</w:t>
      </w:r>
    </w:p>
    <w:p w14:paraId="3DDE8574" w14:textId="1CB29646" w:rsidR="00262502" w:rsidRDefault="00262502">
      <w:pPr>
        <w:autoSpaceDE w:val="0"/>
        <w:autoSpaceDN w:val="0"/>
        <w:adjustRightInd w:val="0"/>
        <w:spacing w:after="0" w:line="276" w:lineRule="auto"/>
        <w:ind w:firstLine="708"/>
        <w:rPr>
          <w:i/>
          <w:iCs/>
          <w:szCs w:val="26"/>
        </w:rPr>
      </w:pPr>
    </w:p>
    <w:p w14:paraId="0A3BBAD3" w14:textId="77777777" w:rsidR="00262502" w:rsidRDefault="00262502">
      <w:pPr>
        <w:autoSpaceDE w:val="0"/>
        <w:autoSpaceDN w:val="0"/>
        <w:adjustRightInd w:val="0"/>
        <w:spacing w:after="0" w:line="276" w:lineRule="auto"/>
        <w:ind w:firstLine="708"/>
        <w:rPr>
          <w:i/>
          <w:iCs/>
          <w:szCs w:val="26"/>
        </w:rPr>
      </w:pPr>
    </w:p>
    <w:p w14:paraId="5F072B96" w14:textId="028A4214" w:rsidR="005C249B" w:rsidRPr="005C249B" w:rsidRDefault="005C249B">
      <w:pPr>
        <w:autoSpaceDE w:val="0"/>
        <w:autoSpaceDN w:val="0"/>
        <w:adjustRightInd w:val="0"/>
        <w:spacing w:after="0" w:line="276" w:lineRule="auto"/>
        <w:ind w:firstLine="708"/>
        <w:rPr>
          <w:szCs w:val="26"/>
        </w:rPr>
      </w:pPr>
      <w:r>
        <w:rPr>
          <w:szCs w:val="26"/>
        </w:rPr>
        <w:lastRenderedPageBreak/>
        <w:t>Potrivit</w:t>
      </w:r>
      <w:r w:rsidR="00CA21F0" w:rsidRPr="00CA21F0">
        <w:t xml:space="preserve"> </w:t>
      </w:r>
      <w:r w:rsidR="00CA21F0" w:rsidRPr="00CA21F0">
        <w:rPr>
          <w:szCs w:val="26"/>
        </w:rPr>
        <w:t>Ordonanţ</w:t>
      </w:r>
      <w:r w:rsidR="00CA21F0">
        <w:rPr>
          <w:szCs w:val="26"/>
        </w:rPr>
        <w:t>ei</w:t>
      </w:r>
      <w:r w:rsidR="00CA21F0" w:rsidRPr="00CA21F0">
        <w:rPr>
          <w:szCs w:val="26"/>
        </w:rPr>
        <w:t xml:space="preserve"> de urgenţă a Guvernului nr. 196/2005</w:t>
      </w:r>
      <w:r w:rsidR="00CA21F0">
        <w:rPr>
          <w:szCs w:val="26"/>
        </w:rPr>
        <w:t>, astfel cum a fost modificată prin</w:t>
      </w:r>
      <w:r w:rsidR="00CA21F0" w:rsidRPr="00CA21F0">
        <w:t xml:space="preserve"> </w:t>
      </w:r>
      <w:r w:rsidR="00CA21F0" w:rsidRPr="0012193F">
        <w:rPr>
          <w:i/>
          <w:iCs/>
        </w:rPr>
        <w:t xml:space="preserve">Ordonanța de urgență a Guvernului nr. 125/2022 </w:t>
      </w:r>
      <w:r w:rsidR="00CA21F0" w:rsidRPr="0012193F">
        <w:rPr>
          <w:i/>
          <w:iCs/>
          <w:szCs w:val="26"/>
        </w:rPr>
        <w:t>pentru modificarea şi completarea Ordonanţei de urgenţă a Guvernului nr. 196/2005 privind Fondul pentru mediu</w:t>
      </w:r>
      <w:r w:rsidR="0012193F">
        <w:rPr>
          <w:szCs w:val="26"/>
        </w:rPr>
        <w:t xml:space="preserve">, </w:t>
      </w:r>
      <w:r w:rsidR="004766D7" w:rsidRPr="005C249B">
        <w:rPr>
          <w:szCs w:val="26"/>
        </w:rPr>
        <w:t>contracte</w:t>
      </w:r>
      <w:r w:rsidR="004766D7">
        <w:rPr>
          <w:szCs w:val="26"/>
        </w:rPr>
        <w:t>le</w:t>
      </w:r>
      <w:r w:rsidR="004766D7" w:rsidRPr="005C249B">
        <w:rPr>
          <w:szCs w:val="26"/>
        </w:rPr>
        <w:t xml:space="preserve"> de delegare cu unităţile administrativ-teritoriale/subdiviziunile administrativ-teritoriale </w:t>
      </w:r>
      <w:r w:rsidR="004766D7">
        <w:rPr>
          <w:szCs w:val="26"/>
        </w:rPr>
        <w:t>se încheie</w:t>
      </w:r>
      <w:r w:rsidR="00A370C9">
        <w:rPr>
          <w:szCs w:val="26"/>
        </w:rPr>
        <w:t xml:space="preserve"> de către</w:t>
      </w:r>
      <w:r w:rsidR="004766D7">
        <w:rPr>
          <w:szCs w:val="26"/>
        </w:rPr>
        <w:t xml:space="preserve"> </w:t>
      </w:r>
      <w:r w:rsidR="00A370C9" w:rsidRPr="005C249B">
        <w:rPr>
          <w:szCs w:val="26"/>
        </w:rPr>
        <w:t>Administraţia Fondului</w:t>
      </w:r>
      <w:r w:rsidR="00A370C9">
        <w:rPr>
          <w:szCs w:val="26"/>
        </w:rPr>
        <w:t xml:space="preserve"> pentru Mediu (AFM)</w:t>
      </w:r>
      <w:r w:rsidR="00A370C9" w:rsidRPr="005C249B">
        <w:rPr>
          <w:szCs w:val="26"/>
        </w:rPr>
        <w:t xml:space="preserve"> </w:t>
      </w:r>
      <w:r w:rsidR="00C9120A">
        <w:rPr>
          <w:szCs w:val="26"/>
        </w:rPr>
        <w:t>d</w:t>
      </w:r>
      <w:r w:rsidRPr="005C249B">
        <w:rPr>
          <w:szCs w:val="26"/>
        </w:rPr>
        <w:t>upă aprobarea bugetului de venituri şi cheltuieli anual</w:t>
      </w:r>
      <w:r w:rsidR="00A370C9">
        <w:rPr>
          <w:szCs w:val="26"/>
        </w:rPr>
        <w:t xml:space="preserve"> al AFM.</w:t>
      </w:r>
      <w:r w:rsidRPr="005C249B">
        <w:rPr>
          <w:szCs w:val="26"/>
        </w:rPr>
        <w:t xml:space="preserve"> </w:t>
      </w:r>
      <w:r w:rsidR="00842F5B">
        <w:rPr>
          <w:szCs w:val="26"/>
        </w:rPr>
        <w:t>Potrivit art.</w:t>
      </w:r>
      <w:r w:rsidR="00842F5B" w:rsidRPr="00842F5B">
        <w:t xml:space="preserve"> </w:t>
      </w:r>
      <w:r w:rsidR="00842F5B" w:rsidRPr="00842F5B">
        <w:rPr>
          <w:szCs w:val="26"/>
        </w:rPr>
        <w:t xml:space="preserve">13^1 </w:t>
      </w:r>
      <w:r w:rsidR="00842F5B">
        <w:rPr>
          <w:szCs w:val="26"/>
        </w:rPr>
        <w:t xml:space="preserve">din </w:t>
      </w:r>
      <w:r w:rsidR="00842F5B" w:rsidRPr="00842F5B">
        <w:rPr>
          <w:szCs w:val="26"/>
        </w:rPr>
        <w:t>Ordonanţa de urgenţă a Guvernului nr. 196/2005, cu modificările şi completările ulterioare</w:t>
      </w:r>
      <w:r w:rsidR="00842F5B">
        <w:rPr>
          <w:szCs w:val="26"/>
        </w:rPr>
        <w:t>, î</w:t>
      </w:r>
      <w:r w:rsidRPr="005C249B">
        <w:rPr>
          <w:szCs w:val="26"/>
        </w:rPr>
        <w:t xml:space="preserve">n baza contractelor de delegare şi a ordinului ministrului </w:t>
      </w:r>
      <w:r w:rsidR="001C266D">
        <w:rPr>
          <w:szCs w:val="26"/>
        </w:rPr>
        <w:t>mediului, apelor și pădurilor</w:t>
      </w:r>
      <w:r w:rsidRPr="005C249B">
        <w:rPr>
          <w:szCs w:val="26"/>
        </w:rPr>
        <w:t xml:space="preserve"> de aprobare a programelor/ proiectelor care se implementează pe bază de contract de delegare, Administraţia Fondului virează către unităţile administrativ-teritoriale/subdiviziunile administrativ-teritoriale, la o poziţie distinctă de venituri, suma prevăzută în acordul de delegare.</w:t>
      </w:r>
      <w:r w:rsidR="00842F5B">
        <w:rPr>
          <w:szCs w:val="26"/>
        </w:rPr>
        <w:t xml:space="preserve"> </w:t>
      </w:r>
      <w:r w:rsidRPr="005C249B">
        <w:rPr>
          <w:szCs w:val="26"/>
        </w:rPr>
        <w:t>Autorităţile publice locale încheie contracte de finanţare multianuală cu beneficiarii persoane fizice, în limita sumelor prevăzute în contractul de delegare.</w:t>
      </w:r>
    </w:p>
    <w:p w14:paraId="7DEC8F21" w14:textId="77777777" w:rsidR="000A629B" w:rsidRDefault="000A629B">
      <w:pPr>
        <w:autoSpaceDE w:val="0"/>
        <w:autoSpaceDN w:val="0"/>
        <w:adjustRightInd w:val="0"/>
        <w:spacing w:after="0" w:line="276" w:lineRule="auto"/>
        <w:rPr>
          <w:szCs w:val="26"/>
        </w:rPr>
      </w:pPr>
    </w:p>
    <w:p w14:paraId="773BD42B" w14:textId="459EB25D" w:rsidR="000A629B" w:rsidRDefault="00000000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  <w:r>
        <w:rPr>
          <w:szCs w:val="26"/>
        </w:rPr>
        <w:t xml:space="preserve">Pentru motivele invocate, vă rugăm să aprobați emiterea </w:t>
      </w:r>
      <w:r>
        <w:rPr>
          <w:b/>
          <w:i/>
          <w:szCs w:val="26"/>
        </w:rPr>
        <w:t xml:space="preserve">Ordinului </w:t>
      </w:r>
      <w:r w:rsidR="00F23D55" w:rsidRPr="00F23D55">
        <w:rPr>
          <w:b/>
          <w:i/>
          <w:szCs w:val="26"/>
        </w:rPr>
        <w:t>pentru aprobarea Listei programelor care se implementează pe bază de contract de delegare încheiat cu unităţile administrativ-teritoriale sau cu subdiviziunile administrativ-teritoriale ale municipiilor.</w:t>
      </w:r>
    </w:p>
    <w:p w14:paraId="0400DD17" w14:textId="77777777" w:rsidR="000F7C80" w:rsidRDefault="000F7C80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68796F57" w14:textId="15B139BF" w:rsidR="000F7C80" w:rsidRDefault="000F7C80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377761F1" w14:textId="77777777" w:rsidR="000F7C80" w:rsidRPr="000F7C80" w:rsidRDefault="000F7C80" w:rsidP="000F7C80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0F7C80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79F52267" w14:textId="77777777" w:rsidR="000F7C80" w:rsidRPr="00D139F2" w:rsidRDefault="000F7C80" w:rsidP="000F7C80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r w:rsidRPr="00D139F2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 Adrian NECULAESCU</w:t>
      </w:r>
    </w:p>
    <w:p w14:paraId="4C35D10A" w14:textId="77777777" w:rsidR="000F7C80" w:rsidRPr="00D139F2" w:rsidRDefault="000F7C80" w:rsidP="000F7C80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4"/>
          <w:szCs w:val="24"/>
          <w:lang w:eastAsia="en-US"/>
        </w:rPr>
      </w:pPr>
    </w:p>
    <w:p w14:paraId="47A13DC8" w14:textId="77777777" w:rsidR="000F7C80" w:rsidRPr="00D139F2" w:rsidRDefault="000F7C80" w:rsidP="000F7C80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4"/>
          <w:szCs w:val="24"/>
          <w:lang w:eastAsia="en-US"/>
        </w:rPr>
      </w:pPr>
    </w:p>
    <w:p w14:paraId="0FCBF0A2" w14:textId="77777777" w:rsidR="000F7C80" w:rsidRPr="00D946D3" w:rsidRDefault="000F7C80" w:rsidP="000F7C80">
      <w:pPr>
        <w:spacing w:after="0" w:line="276" w:lineRule="auto"/>
        <w:ind w:firstLine="0"/>
        <w:jc w:val="left"/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</w:pPr>
      <w:r w:rsidRPr="00D946D3">
        <w:rPr>
          <w:rFonts w:eastAsia="Calibri"/>
          <w:noProof/>
          <w:color w:val="FFFFFF" w:themeColor="background1"/>
          <w:sz w:val="24"/>
          <w:szCs w:val="24"/>
          <w:lang w:eastAsia="en-US"/>
        </w:rPr>
        <w:t>Șef Serviciu,</w:t>
      </w:r>
      <w:r w:rsidRPr="00D946D3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 xml:space="preserve"> </w:t>
      </w:r>
    </w:p>
    <w:p w14:paraId="1DDB3B90" w14:textId="77777777" w:rsidR="000F7C80" w:rsidRPr="00D946D3" w:rsidRDefault="000F7C80" w:rsidP="000F7C80">
      <w:pPr>
        <w:spacing w:after="0" w:line="276" w:lineRule="auto"/>
        <w:ind w:firstLine="0"/>
        <w:jc w:val="left"/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</w:pPr>
      <w:r w:rsidRPr="00D946D3">
        <w:rPr>
          <w:rFonts w:eastAsia="Calibri"/>
          <w:noProof/>
          <w:color w:val="FFFFFF" w:themeColor="background1"/>
          <w:sz w:val="24"/>
          <w:szCs w:val="24"/>
          <w:lang w:eastAsia="en-US"/>
        </w:rPr>
        <w:t>Andreea Coman</w:t>
      </w:r>
    </w:p>
    <w:p w14:paraId="4B00FF65" w14:textId="37D66898" w:rsidR="000F7C80" w:rsidRPr="00D139F2" w:rsidRDefault="000F7C80" w:rsidP="000F7C80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color w:val="auto"/>
          <w:szCs w:val="26"/>
        </w:rPr>
      </w:pPr>
    </w:p>
    <w:sectPr w:rsidR="000F7C80" w:rsidRPr="00D13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850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CC7F" w14:textId="77777777" w:rsidR="004E1229" w:rsidRDefault="004E1229">
      <w:pPr>
        <w:spacing w:after="0" w:line="240" w:lineRule="auto"/>
      </w:pPr>
      <w:r>
        <w:separator/>
      </w:r>
    </w:p>
  </w:endnote>
  <w:endnote w:type="continuationSeparator" w:id="0">
    <w:p w14:paraId="6D7C5190" w14:textId="77777777" w:rsidR="004E1229" w:rsidRDefault="004E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B8C" w14:textId="77777777" w:rsidR="009A2B71" w:rsidRDefault="009A2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1549" w14:textId="77777777" w:rsidR="000A629B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BD50688" wp14:editId="76687156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07306884" w14:textId="77777777" w:rsidR="000A629B" w:rsidRDefault="00000000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366A" w14:textId="77777777" w:rsidR="009A2B71" w:rsidRDefault="009A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878D" w14:textId="77777777" w:rsidR="004E1229" w:rsidRDefault="004E1229">
      <w:pPr>
        <w:spacing w:after="0" w:line="240" w:lineRule="auto"/>
      </w:pPr>
      <w:r>
        <w:separator/>
      </w:r>
    </w:p>
  </w:footnote>
  <w:footnote w:type="continuationSeparator" w:id="0">
    <w:p w14:paraId="7A1AC3CD" w14:textId="77777777" w:rsidR="004E1229" w:rsidRDefault="004E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0B60" w14:textId="07F4DF10" w:rsidR="009A2B71" w:rsidRDefault="00000000">
    <w:pPr>
      <w:pStyle w:val="Header"/>
    </w:pPr>
    <w:r>
      <w:rPr>
        <w:noProof/>
      </w:rPr>
      <w:pict w14:anchorId="7F9EB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032" o:spid="_x0000_s1026" type="#_x0000_t136" style="position:absolute;left:0;text-align:left;margin-left:0;margin-top:0;width:544.25pt;height:155.5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2E77" w14:textId="280198D6" w:rsidR="000A629B" w:rsidRDefault="00000000">
    <w:pPr>
      <w:pStyle w:val="Header"/>
      <w:ind w:left="-851"/>
    </w:pPr>
    <w:r>
      <w:rPr>
        <w:noProof/>
      </w:rPr>
      <w:pict w14:anchorId="0641D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033" o:spid="_x0000_s1027" type="#_x0000_t136" style="position:absolute;left:0;text-align:left;margin-left:0;margin-top:0;width:544.25pt;height:155.5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560D89A2" w14:textId="77777777" w:rsidR="000A629B" w:rsidRDefault="00000000">
    <w:pPr>
      <w:pStyle w:val="Header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F4CB2" wp14:editId="37AE00C9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14" name="Picture 1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60FABC" wp14:editId="087FBE5D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15" name="Picture 1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5F62C" w14:textId="77777777" w:rsidR="000A629B" w:rsidRDefault="00000000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MINISTERUL MEDIULUI, APELOR ȘI PĂDURILOR</w:t>
    </w:r>
  </w:p>
  <w:p w14:paraId="42A1EC85" w14:textId="77777777" w:rsidR="000A629B" w:rsidRDefault="00000000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58FB91CB" w14:textId="77777777" w:rsidR="000A629B" w:rsidRDefault="0000000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B6B4E0" wp14:editId="2745CCF8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4614ECAA" w14:textId="77777777" w:rsidR="000A629B" w:rsidRDefault="000A6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BE87" w14:textId="2402DFD1" w:rsidR="009A2B71" w:rsidRDefault="00000000">
    <w:pPr>
      <w:pStyle w:val="Header"/>
    </w:pPr>
    <w:r>
      <w:rPr>
        <w:noProof/>
      </w:rPr>
      <w:pict w14:anchorId="57F66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031" o:spid="_x0000_s1025" type="#_x0000_t136" style="position:absolute;left:0;text-align:left;margin-left:0;margin-top:0;width:544.25pt;height:155.5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843913">
    <w:abstractNumId w:val="1"/>
  </w:num>
  <w:num w:numId="2" w16cid:durableId="1885629391">
    <w:abstractNumId w:val="2"/>
  </w:num>
  <w:num w:numId="3" w16cid:durableId="155854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9B"/>
    <w:rsid w:val="00067822"/>
    <w:rsid w:val="0009524C"/>
    <w:rsid w:val="000A629B"/>
    <w:rsid w:val="000F7C80"/>
    <w:rsid w:val="0012193F"/>
    <w:rsid w:val="001A46B0"/>
    <w:rsid w:val="001C266D"/>
    <w:rsid w:val="001D6F64"/>
    <w:rsid w:val="001E66D1"/>
    <w:rsid w:val="002554CE"/>
    <w:rsid w:val="00262502"/>
    <w:rsid w:val="002F5E1C"/>
    <w:rsid w:val="003D4793"/>
    <w:rsid w:val="00401392"/>
    <w:rsid w:val="004766D7"/>
    <w:rsid w:val="004E1229"/>
    <w:rsid w:val="005203E1"/>
    <w:rsid w:val="0054516B"/>
    <w:rsid w:val="005A50A2"/>
    <w:rsid w:val="005C249B"/>
    <w:rsid w:val="005D6FD9"/>
    <w:rsid w:val="00784D70"/>
    <w:rsid w:val="00824562"/>
    <w:rsid w:val="00842F5B"/>
    <w:rsid w:val="00884A28"/>
    <w:rsid w:val="008B39B5"/>
    <w:rsid w:val="008C005E"/>
    <w:rsid w:val="008F2674"/>
    <w:rsid w:val="00933629"/>
    <w:rsid w:val="00971335"/>
    <w:rsid w:val="009A2B71"/>
    <w:rsid w:val="009B45EE"/>
    <w:rsid w:val="00A215C3"/>
    <w:rsid w:val="00A347D7"/>
    <w:rsid w:val="00A370C9"/>
    <w:rsid w:val="00A832AA"/>
    <w:rsid w:val="00A83AA0"/>
    <w:rsid w:val="00B33F93"/>
    <w:rsid w:val="00BE486B"/>
    <w:rsid w:val="00C83100"/>
    <w:rsid w:val="00C9120A"/>
    <w:rsid w:val="00CA21F0"/>
    <w:rsid w:val="00CE1E72"/>
    <w:rsid w:val="00D139F2"/>
    <w:rsid w:val="00D56CFE"/>
    <w:rsid w:val="00D946D3"/>
    <w:rsid w:val="00DC252F"/>
    <w:rsid w:val="00F23D55"/>
    <w:rsid w:val="00F33E3A"/>
    <w:rsid w:val="00F45455"/>
    <w:rsid w:val="00F473B3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85EAF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9C0-FC9C-42A4-9EE6-9CD45B0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Andreea COMAN</cp:lastModifiedBy>
  <cp:revision>148</cp:revision>
  <cp:lastPrinted>2022-10-12T08:12:00Z</cp:lastPrinted>
  <dcterms:created xsi:type="dcterms:W3CDTF">2020-03-23T14:55:00Z</dcterms:created>
  <dcterms:modified xsi:type="dcterms:W3CDTF">2022-10-12T11:24:00Z</dcterms:modified>
</cp:coreProperties>
</file>