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AF" w:rsidRPr="00C77744" w:rsidRDefault="00124EA2">
      <w:pPr>
        <w:spacing w:after="26" w:line="259" w:lineRule="auto"/>
        <w:ind w:firstLine="0"/>
        <w:jc w:val="left"/>
        <w:rPr>
          <w:sz w:val="24"/>
          <w:szCs w:val="24"/>
        </w:rPr>
      </w:pPr>
      <w:r w:rsidRPr="00C77744">
        <w:rPr>
          <w:sz w:val="24"/>
          <w:szCs w:val="24"/>
        </w:rPr>
        <w:t xml:space="preserve"> Nr. ..................../............................2022</w:t>
      </w:r>
    </w:p>
    <w:p w:rsidR="00357AAF" w:rsidRPr="00C77744" w:rsidRDefault="00357AAF">
      <w:pPr>
        <w:spacing w:after="26" w:line="259" w:lineRule="auto"/>
        <w:ind w:firstLine="0"/>
        <w:jc w:val="left"/>
        <w:rPr>
          <w:sz w:val="24"/>
          <w:szCs w:val="24"/>
        </w:rPr>
      </w:pPr>
    </w:p>
    <w:p w:rsidR="00357AAF" w:rsidRDefault="00357AAF">
      <w:pPr>
        <w:spacing w:after="26" w:line="259" w:lineRule="auto"/>
        <w:ind w:firstLine="0"/>
        <w:jc w:val="left"/>
        <w:rPr>
          <w:sz w:val="24"/>
          <w:szCs w:val="24"/>
        </w:rPr>
      </w:pPr>
    </w:p>
    <w:p w:rsidR="00E77996" w:rsidRDefault="00E77996">
      <w:pPr>
        <w:spacing w:after="26" w:line="259" w:lineRule="auto"/>
        <w:ind w:firstLine="0"/>
        <w:jc w:val="left"/>
        <w:rPr>
          <w:sz w:val="24"/>
          <w:szCs w:val="24"/>
        </w:rPr>
      </w:pPr>
    </w:p>
    <w:p w:rsidR="00C64E6C" w:rsidRPr="00C77744" w:rsidRDefault="00C64E6C">
      <w:pPr>
        <w:spacing w:after="26" w:line="259" w:lineRule="auto"/>
        <w:ind w:firstLine="0"/>
        <w:jc w:val="left"/>
        <w:rPr>
          <w:sz w:val="24"/>
          <w:szCs w:val="24"/>
        </w:rPr>
      </w:pPr>
    </w:p>
    <w:p w:rsidR="00357AAF" w:rsidRPr="00C77744" w:rsidRDefault="00124EA2">
      <w:pPr>
        <w:pStyle w:val="Heading1"/>
        <w:spacing w:line="276" w:lineRule="auto"/>
        <w:ind w:left="2829" w:firstLine="3"/>
        <w:jc w:val="both"/>
        <w:rPr>
          <w:sz w:val="24"/>
          <w:szCs w:val="24"/>
        </w:rPr>
      </w:pPr>
      <w:r w:rsidRPr="00C77744">
        <w:rPr>
          <w:sz w:val="24"/>
          <w:szCs w:val="24"/>
        </w:rPr>
        <w:t xml:space="preserve">    REFERAT DE APROBARE</w:t>
      </w:r>
    </w:p>
    <w:p w:rsidR="00357AAF" w:rsidRPr="00FF478C" w:rsidRDefault="000621E3" w:rsidP="00C64E6C">
      <w:pPr>
        <w:autoSpaceDE w:val="0"/>
        <w:autoSpaceDN w:val="0"/>
        <w:adjustRightInd w:val="0"/>
        <w:spacing w:after="0" w:line="240" w:lineRule="auto"/>
        <w:contextualSpacing/>
        <w:jc w:val="center"/>
        <w:rPr>
          <w:b/>
          <w:i/>
          <w:sz w:val="24"/>
          <w:szCs w:val="24"/>
        </w:rPr>
      </w:pPr>
      <w:r>
        <w:rPr>
          <w:rFonts w:eastAsia="Calibri"/>
          <w:b/>
          <w:bCs/>
          <w:i/>
          <w:sz w:val="24"/>
          <w:szCs w:val="24"/>
        </w:rPr>
        <w:t xml:space="preserve">privind </w:t>
      </w:r>
      <w:r>
        <w:rPr>
          <w:b/>
          <w:i/>
          <w:sz w:val="24"/>
          <w:szCs w:val="24"/>
        </w:rPr>
        <w:t xml:space="preserve"> metodologia </w:t>
      </w:r>
      <w:r w:rsidR="00124EA2" w:rsidRPr="00FF478C">
        <w:rPr>
          <w:b/>
          <w:i/>
          <w:sz w:val="24"/>
          <w:szCs w:val="24"/>
        </w:rPr>
        <w:t xml:space="preserve"> de constituire și gestionare a garanției financiare pentru producătorii de echipamente electrice și electronice și pentru organizațiile colective, precum și utilizarea acesteia de către Administrația Fondului pentru Mediu</w:t>
      </w:r>
    </w:p>
    <w:p w:rsidR="00357AAF" w:rsidRPr="00FF478C" w:rsidRDefault="00357AAF" w:rsidP="00C64E6C">
      <w:pPr>
        <w:autoSpaceDE w:val="0"/>
        <w:autoSpaceDN w:val="0"/>
        <w:adjustRightInd w:val="0"/>
        <w:spacing w:after="0" w:line="240" w:lineRule="auto"/>
        <w:contextualSpacing/>
        <w:jc w:val="center"/>
        <w:rPr>
          <w:b/>
          <w:i/>
          <w:sz w:val="24"/>
          <w:szCs w:val="24"/>
        </w:rPr>
      </w:pPr>
    </w:p>
    <w:p w:rsidR="00C64E6C" w:rsidRPr="00C77744" w:rsidRDefault="00C64E6C" w:rsidP="00C64E6C">
      <w:pPr>
        <w:autoSpaceDE w:val="0"/>
        <w:autoSpaceDN w:val="0"/>
        <w:adjustRightInd w:val="0"/>
        <w:spacing w:after="0" w:line="240" w:lineRule="auto"/>
        <w:contextualSpacing/>
        <w:jc w:val="center"/>
        <w:rPr>
          <w:sz w:val="24"/>
          <w:szCs w:val="24"/>
        </w:rPr>
      </w:pPr>
    </w:p>
    <w:p w:rsidR="00357AAF" w:rsidRPr="00C77744" w:rsidRDefault="00124EA2" w:rsidP="00427D1B">
      <w:pPr>
        <w:autoSpaceDE w:val="0"/>
        <w:autoSpaceDN w:val="0"/>
        <w:adjustRightInd w:val="0"/>
        <w:spacing w:after="0" w:line="240" w:lineRule="auto"/>
        <w:contextualSpacing/>
        <w:rPr>
          <w:sz w:val="24"/>
          <w:szCs w:val="24"/>
        </w:rPr>
      </w:pPr>
      <w:r w:rsidRPr="00C77744">
        <w:rPr>
          <w:sz w:val="24"/>
          <w:szCs w:val="24"/>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 proiectului de ordin pentru </w:t>
      </w:r>
      <w:r w:rsidR="000621E3">
        <w:rPr>
          <w:sz w:val="24"/>
          <w:szCs w:val="24"/>
        </w:rPr>
        <w:t>aprobarea</w:t>
      </w:r>
      <w:r w:rsidRPr="00C77744">
        <w:rPr>
          <w:sz w:val="24"/>
          <w:szCs w:val="24"/>
        </w:rPr>
        <w:t xml:space="preserve"> metodologiei de constituire și gestionare a garanției financiare pentru producătorii de echipamente electrice și electronice și pentru organizațiile colective, precum și utilizarea acesteia de către Administrația Fondului pentru Mediu.  </w:t>
      </w:r>
    </w:p>
    <w:p w:rsidR="00357AAF" w:rsidRPr="00483EB8" w:rsidRDefault="00124EA2" w:rsidP="00C64E6C">
      <w:pPr>
        <w:spacing w:line="240" w:lineRule="auto"/>
        <w:contextualSpacing/>
        <w:rPr>
          <w:sz w:val="24"/>
          <w:szCs w:val="24"/>
        </w:rPr>
      </w:pPr>
      <w:r w:rsidRPr="00C77744">
        <w:rPr>
          <w:sz w:val="24"/>
          <w:szCs w:val="24"/>
        </w:rPr>
        <w:t>Baza legală a proiectului de ordin supus aprobării o constituie</w:t>
      </w:r>
      <w:r w:rsidR="00483EB8" w:rsidRPr="00483EB8">
        <w:t xml:space="preserve"> </w:t>
      </w:r>
      <w:r w:rsidR="00483EB8" w:rsidRPr="00483EB8">
        <w:rPr>
          <w:sz w:val="24"/>
          <w:szCs w:val="24"/>
        </w:rPr>
        <w:t>prevederile art. 57 alin. (1), (4) și (5) din Ordonanța de urgență a Guvernului nr. 57/2019 privind Codul administrativ, cu modificările și completările ulterioare, art. 13 alin. (4) din Hotărârea Guvernului nr. 43/2020 privind organizarea și funcționarea Ministerulu</w:t>
      </w:r>
      <w:r w:rsidR="00E77996">
        <w:rPr>
          <w:sz w:val="24"/>
          <w:szCs w:val="24"/>
        </w:rPr>
        <w:t>i Mediului, Apelor și Pădurilor</w:t>
      </w:r>
      <w:r w:rsidR="00483EB8" w:rsidRPr="00483EB8">
        <w:rPr>
          <w:sz w:val="24"/>
          <w:szCs w:val="24"/>
        </w:rPr>
        <w:t xml:space="preserve"> cu modifică</w:t>
      </w:r>
      <w:r w:rsidR="00483EB8">
        <w:rPr>
          <w:sz w:val="24"/>
          <w:szCs w:val="24"/>
        </w:rPr>
        <w:t xml:space="preserve">rile și completările ulterioare, precum și </w:t>
      </w:r>
      <w:r w:rsidRPr="00C77744">
        <w:rPr>
          <w:sz w:val="24"/>
          <w:szCs w:val="24"/>
        </w:rPr>
        <w:t xml:space="preserve">prevederile </w:t>
      </w:r>
      <w:r w:rsidR="00C6659E">
        <w:rPr>
          <w:rStyle w:val="Fontdeparagrafimplicit1"/>
          <w:sz w:val="24"/>
          <w:szCs w:val="24"/>
        </w:rPr>
        <w:t>art. 1</w:t>
      </w:r>
      <w:r w:rsidR="00C77744">
        <w:rPr>
          <w:sz w:val="24"/>
          <w:szCs w:val="24"/>
          <w:shd w:val="clear" w:color="auto" w:fill="FFFFFF"/>
        </w:rPr>
        <w:t>2</w:t>
      </w:r>
      <w:r w:rsidR="00C77744">
        <w:rPr>
          <w:sz w:val="24"/>
          <w:szCs w:val="24"/>
          <w:shd w:val="clear" w:color="auto" w:fill="FFFFFF"/>
          <w:vertAlign w:val="superscript"/>
        </w:rPr>
        <w:t>1</w:t>
      </w:r>
      <w:r w:rsidRPr="00C77744">
        <w:rPr>
          <w:rStyle w:val="Fontdeparagrafimplicit1"/>
          <w:sz w:val="24"/>
          <w:szCs w:val="24"/>
          <w:vertAlign w:val="superscript"/>
        </w:rPr>
        <w:t xml:space="preserve"> </w:t>
      </w:r>
      <w:r w:rsidRPr="00C77744">
        <w:rPr>
          <w:rStyle w:val="Fontdeparagrafimplicit1"/>
          <w:sz w:val="24"/>
          <w:szCs w:val="24"/>
        </w:rPr>
        <w:t>alin</w:t>
      </w:r>
      <w:r w:rsidR="00E77996">
        <w:rPr>
          <w:rStyle w:val="Fontdeparagrafimplicit1"/>
          <w:sz w:val="24"/>
          <w:szCs w:val="24"/>
        </w:rPr>
        <w:t>.</w:t>
      </w:r>
      <w:r w:rsidRPr="00C77744">
        <w:rPr>
          <w:rStyle w:val="Fontdeparagrafimplicit1"/>
          <w:sz w:val="24"/>
          <w:szCs w:val="24"/>
        </w:rPr>
        <w:t>(3) din Ordonanța de urgență a Guvernului nr. 196/2005 privind Fondul pentru mediu, aprobată cu modificări şi completări prin Legea nr. 105/2006, cu modificările şi completările ulterioare</w:t>
      </w:r>
      <w:r w:rsidRPr="00C77744">
        <w:rPr>
          <w:sz w:val="24"/>
          <w:szCs w:val="24"/>
        </w:rPr>
        <w:t xml:space="preserve">, </w:t>
      </w:r>
      <w:r w:rsidR="00FF478C">
        <w:rPr>
          <w:sz w:val="24"/>
          <w:szCs w:val="24"/>
        </w:rPr>
        <w:t>potrivit căror</w:t>
      </w:r>
      <w:r w:rsidR="00483EB8">
        <w:rPr>
          <w:sz w:val="24"/>
          <w:szCs w:val="24"/>
        </w:rPr>
        <w:t>a</w:t>
      </w:r>
      <w:r w:rsidR="008D1237">
        <w:rPr>
          <w:sz w:val="24"/>
          <w:szCs w:val="24"/>
        </w:rPr>
        <w:t>:</w:t>
      </w:r>
      <w:r w:rsidR="00C77744" w:rsidRPr="00C77744">
        <w:rPr>
          <w:i/>
          <w:sz w:val="24"/>
          <w:szCs w:val="24"/>
        </w:rPr>
        <w:t>”</w:t>
      </w:r>
      <w:r w:rsidRPr="00C77744">
        <w:rPr>
          <w:rStyle w:val="Fontdeparagrafimplicit1"/>
          <w:i/>
          <w:sz w:val="24"/>
          <w:szCs w:val="24"/>
        </w:rPr>
        <w:t>Metodologia de constituire şi gestionare a garanţiei financiare prevăzute la alin. (1) pentru producătorii de echipamente electrice şi electronice şi pentru organizaţiile colective, precum şi cu privire la utilizarea acesteia de către Administraţia Fondului se stabileşte prin ordin al conducătorului autorităţii publice centrale pentru protecţia mediului, la propunerea Administraţiei Fondului.”</w:t>
      </w:r>
    </w:p>
    <w:p w:rsidR="00357AAF" w:rsidRPr="00C77744" w:rsidRDefault="00C77744" w:rsidP="00C64E6C">
      <w:pPr>
        <w:tabs>
          <w:tab w:val="left" w:pos="0"/>
          <w:tab w:val="left" w:pos="1276"/>
        </w:tabs>
        <w:spacing w:after="0" w:line="240" w:lineRule="auto"/>
        <w:contextualSpacing/>
        <w:rPr>
          <w:sz w:val="24"/>
          <w:szCs w:val="24"/>
        </w:rPr>
      </w:pPr>
      <w:r>
        <w:rPr>
          <w:sz w:val="24"/>
          <w:szCs w:val="24"/>
        </w:rPr>
        <w:t>Totodată, menționă</w:t>
      </w:r>
      <w:r w:rsidR="00483EB8">
        <w:rPr>
          <w:sz w:val="24"/>
          <w:szCs w:val="24"/>
        </w:rPr>
        <w:t>m</w:t>
      </w:r>
      <w:r>
        <w:rPr>
          <w:sz w:val="24"/>
          <w:szCs w:val="24"/>
        </w:rPr>
        <w:t xml:space="preserve"> că </w:t>
      </w:r>
      <w:r w:rsidR="00124EA2" w:rsidRPr="00C77744">
        <w:rPr>
          <w:sz w:val="24"/>
          <w:szCs w:val="24"/>
        </w:rPr>
        <w:t>Directiva 2012/19/UE privind deşeurile de echipamente electrice şi electronice a fost transpusă în România prin OUG nr. 5/2015 privind deșeurile de echipamente electrice şi electronice, cu modificările și completările ulterioare.</w:t>
      </w:r>
    </w:p>
    <w:p w:rsidR="00357AAF" w:rsidRPr="00C77744" w:rsidRDefault="00124EA2" w:rsidP="00C64E6C">
      <w:pPr>
        <w:spacing w:line="240" w:lineRule="auto"/>
        <w:contextualSpacing/>
        <w:rPr>
          <w:sz w:val="24"/>
          <w:szCs w:val="24"/>
        </w:rPr>
      </w:pPr>
      <w:r w:rsidRPr="00C77744">
        <w:rPr>
          <w:sz w:val="24"/>
          <w:szCs w:val="24"/>
        </w:rPr>
        <w:t xml:space="preserve">Pentru implementarea prevederilor art. 29 - 31 din Ordonanța de urgență a Guvernului nr. 5/2015 </w:t>
      </w:r>
      <w:r w:rsidR="00C77744" w:rsidRPr="00C77744">
        <w:rPr>
          <w:sz w:val="24"/>
          <w:szCs w:val="24"/>
        </w:rPr>
        <w:t>cu modifică</w:t>
      </w:r>
      <w:r w:rsidR="00C77744">
        <w:rPr>
          <w:sz w:val="24"/>
          <w:szCs w:val="24"/>
        </w:rPr>
        <w:t xml:space="preserve">rile și completările ulterioare, </w:t>
      </w:r>
      <w:r w:rsidRPr="00C77744">
        <w:rPr>
          <w:sz w:val="24"/>
          <w:szCs w:val="24"/>
        </w:rPr>
        <w:t>în vederea  asigurării  finanțării  gestionării tuturor DEEE e</w:t>
      </w:r>
      <w:r w:rsidR="00483EB8">
        <w:rPr>
          <w:sz w:val="24"/>
          <w:szCs w:val="24"/>
        </w:rPr>
        <w:t>ste nevoie de norme de aplicare,</w:t>
      </w:r>
      <w:r w:rsidRPr="00C77744">
        <w:rPr>
          <w:sz w:val="24"/>
          <w:szCs w:val="24"/>
        </w:rPr>
        <w:t xml:space="preserve"> prin care:</w:t>
      </w:r>
    </w:p>
    <w:p w:rsidR="00357AAF" w:rsidRPr="00C77744" w:rsidRDefault="00124EA2" w:rsidP="00C64E6C">
      <w:pPr>
        <w:numPr>
          <w:ilvl w:val="0"/>
          <w:numId w:val="4"/>
        </w:numPr>
        <w:tabs>
          <w:tab w:val="left" w:pos="0"/>
          <w:tab w:val="left" w:pos="180"/>
          <w:tab w:val="left" w:pos="990"/>
          <w:tab w:val="left" w:pos="1276"/>
        </w:tabs>
        <w:spacing w:after="0" w:line="240" w:lineRule="auto"/>
        <w:ind w:left="0" w:firstLine="0"/>
        <w:contextualSpacing/>
        <w:rPr>
          <w:sz w:val="24"/>
          <w:szCs w:val="24"/>
        </w:rPr>
      </w:pPr>
      <w:r w:rsidRPr="00C77744">
        <w:rPr>
          <w:sz w:val="24"/>
          <w:szCs w:val="24"/>
        </w:rPr>
        <w:t>se stabilește metodologia de constituire și gestionare a garanției financiare pentru producătorii de echipamente electrice și electronice;</w:t>
      </w:r>
    </w:p>
    <w:p w:rsidR="00357AAF" w:rsidRPr="00C77744" w:rsidRDefault="00124EA2" w:rsidP="00C64E6C">
      <w:pPr>
        <w:numPr>
          <w:ilvl w:val="0"/>
          <w:numId w:val="4"/>
        </w:numPr>
        <w:tabs>
          <w:tab w:val="left" w:pos="0"/>
          <w:tab w:val="left" w:pos="180"/>
          <w:tab w:val="left" w:pos="990"/>
          <w:tab w:val="left" w:pos="1276"/>
        </w:tabs>
        <w:spacing w:after="0" w:line="240" w:lineRule="auto"/>
        <w:ind w:left="0" w:firstLine="0"/>
        <w:contextualSpacing/>
        <w:rPr>
          <w:sz w:val="24"/>
          <w:szCs w:val="24"/>
        </w:rPr>
      </w:pPr>
      <w:r w:rsidRPr="00C77744">
        <w:rPr>
          <w:sz w:val="24"/>
          <w:szCs w:val="24"/>
        </w:rPr>
        <w:t xml:space="preserve"> se stabilește metodologia de constituire și gestionare a garanției financiare pentru organizațiile colective;</w:t>
      </w:r>
    </w:p>
    <w:p w:rsidR="00357AAF" w:rsidRPr="00C77744" w:rsidRDefault="00124EA2" w:rsidP="00C64E6C">
      <w:pPr>
        <w:numPr>
          <w:ilvl w:val="0"/>
          <w:numId w:val="4"/>
        </w:numPr>
        <w:tabs>
          <w:tab w:val="left" w:pos="0"/>
          <w:tab w:val="left" w:pos="180"/>
          <w:tab w:val="left" w:pos="990"/>
          <w:tab w:val="left" w:pos="1276"/>
        </w:tabs>
        <w:spacing w:after="0" w:line="240" w:lineRule="auto"/>
        <w:ind w:left="0" w:firstLine="0"/>
        <w:contextualSpacing/>
        <w:rPr>
          <w:sz w:val="24"/>
          <w:szCs w:val="24"/>
        </w:rPr>
      </w:pPr>
      <w:r w:rsidRPr="00C77744">
        <w:rPr>
          <w:sz w:val="24"/>
          <w:szCs w:val="24"/>
        </w:rPr>
        <w:t>se stabilește metodologia pentru încasarea și utilizarea garanției financiare de către Administrația Fondului pentru Mediu.</w:t>
      </w:r>
    </w:p>
    <w:p w:rsidR="00357AAF" w:rsidRDefault="00124EA2" w:rsidP="00C64E6C">
      <w:pPr>
        <w:tabs>
          <w:tab w:val="left" w:pos="0"/>
          <w:tab w:val="left" w:pos="1276"/>
        </w:tabs>
        <w:spacing w:after="0" w:line="240" w:lineRule="auto"/>
        <w:contextualSpacing/>
        <w:rPr>
          <w:sz w:val="24"/>
          <w:szCs w:val="24"/>
        </w:rPr>
      </w:pPr>
      <w:r w:rsidRPr="00C77744">
        <w:rPr>
          <w:sz w:val="24"/>
          <w:szCs w:val="24"/>
        </w:rPr>
        <w:t xml:space="preserve">Având în vedere angajamentele asumate de România prin Tratatul de aderare, domeniul gestionării deșeurilor de echipamente electrice şi electronice reprezintă o prioritate </w:t>
      </w:r>
      <w:r w:rsidR="00483EB8">
        <w:rPr>
          <w:sz w:val="24"/>
          <w:szCs w:val="24"/>
        </w:rPr>
        <w:t>națională, iar prezentul proiect</w:t>
      </w:r>
      <w:r w:rsidRPr="00C77744">
        <w:rPr>
          <w:sz w:val="24"/>
          <w:szCs w:val="24"/>
        </w:rPr>
        <w:t xml:space="preserve"> de ordin cuprinde măsurile enumerate anterior în vederea implementării eficiente a Directivei 2012/19/UE privind deșeurile de echipamente electrice și electronice.</w:t>
      </w:r>
    </w:p>
    <w:p w:rsidR="00C64E6C" w:rsidRPr="00C77744" w:rsidRDefault="00C64E6C" w:rsidP="00C64E6C">
      <w:pPr>
        <w:tabs>
          <w:tab w:val="left" w:pos="0"/>
          <w:tab w:val="left" w:pos="1276"/>
        </w:tabs>
        <w:spacing w:after="0" w:line="240" w:lineRule="auto"/>
        <w:contextualSpacing/>
        <w:rPr>
          <w:sz w:val="24"/>
          <w:szCs w:val="24"/>
        </w:rPr>
      </w:pPr>
    </w:p>
    <w:p w:rsidR="00357AAF" w:rsidRPr="00C77744" w:rsidRDefault="00357AAF" w:rsidP="00C64E6C">
      <w:pPr>
        <w:autoSpaceDE w:val="0"/>
        <w:autoSpaceDN w:val="0"/>
        <w:adjustRightInd w:val="0"/>
        <w:spacing w:after="0" w:line="240" w:lineRule="auto"/>
        <w:ind w:firstLine="0"/>
        <w:contextualSpacing/>
        <w:rPr>
          <w:sz w:val="24"/>
          <w:szCs w:val="24"/>
        </w:rPr>
      </w:pPr>
    </w:p>
    <w:p w:rsidR="00357AAF" w:rsidRPr="00FF478C" w:rsidRDefault="00FF478C" w:rsidP="00C64E6C">
      <w:pPr>
        <w:autoSpaceDE w:val="0"/>
        <w:autoSpaceDN w:val="0"/>
        <w:adjustRightInd w:val="0"/>
        <w:spacing w:after="0" w:line="240" w:lineRule="auto"/>
        <w:contextualSpacing/>
        <w:rPr>
          <w:b/>
          <w:i/>
          <w:sz w:val="24"/>
          <w:szCs w:val="24"/>
        </w:rPr>
      </w:pPr>
      <w:r w:rsidRPr="00FF478C">
        <w:rPr>
          <w:sz w:val="24"/>
          <w:szCs w:val="24"/>
        </w:rPr>
        <w:lastRenderedPageBreak/>
        <w:t xml:space="preserve">Față de cele de mai sus și ținând seama de motivele invocate, vă rugăm să analizați și să aprobați </w:t>
      </w:r>
      <w:r w:rsidR="00C64E6C" w:rsidRPr="00FF478C">
        <w:rPr>
          <w:b/>
          <w:i/>
          <w:sz w:val="24"/>
          <w:szCs w:val="24"/>
        </w:rPr>
        <w:t>proiectul de ordin</w:t>
      </w:r>
      <w:r w:rsidR="00124EA2" w:rsidRPr="00FF478C">
        <w:rPr>
          <w:b/>
          <w:i/>
          <w:sz w:val="24"/>
          <w:szCs w:val="24"/>
        </w:rPr>
        <w:t xml:space="preserve"> pentru </w:t>
      </w:r>
      <w:r w:rsidR="000621E3">
        <w:rPr>
          <w:b/>
          <w:i/>
          <w:sz w:val="24"/>
          <w:szCs w:val="24"/>
        </w:rPr>
        <w:t>aprobarea</w:t>
      </w:r>
      <w:r w:rsidR="001C2FD9">
        <w:rPr>
          <w:b/>
          <w:i/>
          <w:sz w:val="24"/>
          <w:szCs w:val="24"/>
        </w:rPr>
        <w:t xml:space="preserve"> </w:t>
      </w:r>
      <w:r w:rsidR="00124EA2" w:rsidRPr="00FF478C">
        <w:rPr>
          <w:b/>
          <w:i/>
          <w:sz w:val="24"/>
          <w:szCs w:val="24"/>
        </w:rPr>
        <w:t>metodologiei de constituire și gestionare a garanției financiare pentru producătorii de echipamente electrice și electronice și pentru organizațiile colective, precum și utilizarea acesteia de către Administrația Fondului pentru Mediu</w:t>
      </w:r>
      <w:r w:rsidR="00C64E6C" w:rsidRPr="00FF478C">
        <w:rPr>
          <w:b/>
          <w:i/>
          <w:sz w:val="24"/>
          <w:szCs w:val="24"/>
        </w:rPr>
        <w:t>.</w:t>
      </w:r>
    </w:p>
    <w:p w:rsidR="00357AAF" w:rsidRPr="00FF478C" w:rsidRDefault="00357AAF" w:rsidP="00C64E6C">
      <w:pPr>
        <w:autoSpaceDE w:val="0"/>
        <w:autoSpaceDN w:val="0"/>
        <w:adjustRightInd w:val="0"/>
        <w:spacing w:after="0" w:line="240" w:lineRule="auto"/>
        <w:contextualSpacing/>
        <w:rPr>
          <w:b/>
          <w:i/>
          <w:sz w:val="24"/>
          <w:szCs w:val="24"/>
        </w:rPr>
      </w:pPr>
    </w:p>
    <w:p w:rsidR="00357AAF" w:rsidRPr="00C77744" w:rsidRDefault="00357AAF">
      <w:pPr>
        <w:autoSpaceDE w:val="0"/>
        <w:autoSpaceDN w:val="0"/>
        <w:adjustRightInd w:val="0"/>
        <w:spacing w:after="0" w:line="276" w:lineRule="auto"/>
        <w:rPr>
          <w:sz w:val="24"/>
          <w:szCs w:val="24"/>
        </w:rPr>
      </w:pPr>
    </w:p>
    <w:p w:rsidR="00357AAF" w:rsidRPr="00C77744" w:rsidRDefault="00357AAF">
      <w:pPr>
        <w:autoSpaceDE w:val="0"/>
        <w:autoSpaceDN w:val="0"/>
        <w:adjustRightInd w:val="0"/>
        <w:spacing w:after="0" w:line="276" w:lineRule="auto"/>
        <w:rPr>
          <w:b/>
          <w:bCs/>
          <w:i/>
          <w:iCs/>
          <w:sz w:val="24"/>
          <w:szCs w:val="24"/>
        </w:rPr>
      </w:pPr>
    </w:p>
    <w:p w:rsidR="00357AAF" w:rsidRPr="00C77744" w:rsidRDefault="00124EA2">
      <w:pPr>
        <w:spacing w:after="0" w:line="276" w:lineRule="auto"/>
        <w:ind w:firstLine="0"/>
        <w:jc w:val="center"/>
        <w:rPr>
          <w:rFonts w:eastAsia="Calibri"/>
          <w:b/>
          <w:bCs/>
          <w:noProof/>
          <w:color w:val="auto"/>
          <w:sz w:val="24"/>
          <w:szCs w:val="24"/>
          <w:lang w:eastAsia="en-US"/>
        </w:rPr>
      </w:pPr>
      <w:r w:rsidRPr="00C77744">
        <w:rPr>
          <w:rFonts w:eastAsia="Calibri"/>
          <w:b/>
          <w:bCs/>
          <w:noProof/>
          <w:color w:val="auto"/>
          <w:sz w:val="24"/>
          <w:szCs w:val="24"/>
          <w:lang w:eastAsia="en-US"/>
        </w:rPr>
        <w:t>PREȘEDINTE,</w:t>
      </w:r>
    </w:p>
    <w:p w:rsidR="00357AAF" w:rsidRPr="00C77744" w:rsidRDefault="00124EA2">
      <w:pPr>
        <w:spacing w:after="0" w:line="276" w:lineRule="auto"/>
        <w:ind w:firstLine="0"/>
        <w:jc w:val="center"/>
        <w:rPr>
          <w:rFonts w:eastAsia="Calibri"/>
          <w:b/>
          <w:bCs/>
          <w:color w:val="auto"/>
          <w:sz w:val="24"/>
          <w:szCs w:val="24"/>
          <w:lang w:val="en-US" w:eastAsia="en-US"/>
        </w:rPr>
      </w:pPr>
      <w:proofErr w:type="spellStart"/>
      <w:r w:rsidRPr="00C77744">
        <w:rPr>
          <w:rFonts w:eastAsia="Calibri"/>
          <w:b/>
          <w:bCs/>
          <w:color w:val="auto"/>
          <w:sz w:val="24"/>
          <w:szCs w:val="24"/>
          <w:lang w:val="en-US" w:eastAsia="en-US"/>
        </w:rPr>
        <w:t>Laurențiu</w:t>
      </w:r>
      <w:proofErr w:type="spellEnd"/>
      <w:r w:rsidRPr="00C77744">
        <w:rPr>
          <w:rFonts w:eastAsia="Calibri"/>
          <w:b/>
          <w:bCs/>
          <w:color w:val="auto"/>
          <w:sz w:val="24"/>
          <w:szCs w:val="24"/>
          <w:lang w:val="en-US" w:eastAsia="en-US"/>
        </w:rPr>
        <w:t xml:space="preserve"> Adrian NECULAESCU</w:t>
      </w:r>
    </w:p>
    <w:p w:rsidR="00357AAF" w:rsidRPr="00C77744" w:rsidRDefault="00357AAF">
      <w:pPr>
        <w:spacing w:after="0" w:line="276" w:lineRule="auto"/>
        <w:ind w:firstLine="0"/>
        <w:jc w:val="left"/>
        <w:rPr>
          <w:rFonts w:eastAsia="Calibri"/>
          <w:b/>
          <w:bCs/>
          <w:color w:val="auto"/>
          <w:sz w:val="24"/>
          <w:szCs w:val="24"/>
          <w:lang w:val="en-US" w:eastAsia="en-US"/>
        </w:rPr>
      </w:pPr>
    </w:p>
    <w:p w:rsidR="00357AAF" w:rsidRPr="00C77744" w:rsidRDefault="00124EA2">
      <w:pPr>
        <w:spacing w:after="0" w:line="276" w:lineRule="auto"/>
        <w:ind w:firstLine="0"/>
        <w:jc w:val="left"/>
        <w:rPr>
          <w:rFonts w:eastAsia="Calibri"/>
          <w:noProof/>
          <w:color w:val="auto"/>
          <w:sz w:val="24"/>
          <w:szCs w:val="24"/>
          <w:lang w:eastAsia="en-US"/>
        </w:rPr>
      </w:pPr>
      <w:r w:rsidRPr="00C77744">
        <w:rPr>
          <w:rFonts w:eastAsia="Calibri"/>
          <w:noProof/>
          <w:color w:val="auto"/>
          <w:sz w:val="24"/>
          <w:szCs w:val="24"/>
          <w:lang w:eastAsia="en-US"/>
        </w:rPr>
        <w:tab/>
        <w:t xml:space="preserve">             </w:t>
      </w:r>
    </w:p>
    <w:p w:rsidR="00357AAF" w:rsidRDefault="00357AAF">
      <w:pPr>
        <w:spacing w:after="0" w:line="276" w:lineRule="auto"/>
        <w:ind w:firstLine="0"/>
        <w:jc w:val="left"/>
        <w:rPr>
          <w:rFonts w:eastAsia="Calibri"/>
          <w:noProof/>
          <w:color w:val="FFFFFF" w:themeColor="background1"/>
          <w:sz w:val="24"/>
          <w:szCs w:val="24"/>
          <w:lang w:eastAsia="en-US"/>
        </w:rPr>
      </w:pPr>
    </w:p>
    <w:p w:rsidR="00305EF2" w:rsidRPr="00AA717C" w:rsidRDefault="00305EF2" w:rsidP="00C759EC">
      <w:pPr>
        <w:spacing w:after="0" w:line="276" w:lineRule="auto"/>
        <w:ind w:firstLine="0"/>
        <w:jc w:val="left"/>
        <w:rPr>
          <w:rFonts w:eastAsia="Calibri"/>
          <w:noProof/>
          <w:color w:val="FFFFFF" w:themeColor="background1"/>
          <w:sz w:val="24"/>
          <w:szCs w:val="24"/>
          <w:lang w:eastAsia="en-US"/>
        </w:rPr>
      </w:pPr>
      <w:r w:rsidRPr="00AA717C">
        <w:rPr>
          <w:rFonts w:eastAsia="Calibri"/>
          <w:bCs/>
          <w:color w:val="FFFFFF" w:themeColor="background1"/>
          <w:sz w:val="24"/>
          <w:szCs w:val="24"/>
        </w:rPr>
        <w:t>Serviciul Analiză și Avizare</w:t>
      </w:r>
      <w:r w:rsidRPr="00AA717C">
        <w:rPr>
          <w:rFonts w:eastAsia="Calibri"/>
          <w:bCs/>
          <w:color w:val="FFFFFF" w:themeColor="background1"/>
          <w:sz w:val="24"/>
          <w:szCs w:val="24"/>
        </w:rPr>
        <w:tab/>
      </w:r>
      <w:r w:rsidRPr="00AA717C">
        <w:rPr>
          <w:rFonts w:eastAsia="Calibri"/>
          <w:bCs/>
          <w:color w:val="FFFFFF" w:themeColor="background1"/>
          <w:sz w:val="24"/>
          <w:szCs w:val="24"/>
        </w:rPr>
        <w:tab/>
      </w:r>
      <w:r w:rsidRPr="00AA717C">
        <w:rPr>
          <w:rFonts w:eastAsia="Calibri"/>
          <w:bCs/>
          <w:color w:val="FFFFFF" w:themeColor="background1"/>
          <w:sz w:val="24"/>
          <w:szCs w:val="24"/>
        </w:rPr>
        <w:tab/>
      </w:r>
      <w:r w:rsidRPr="00AA717C">
        <w:rPr>
          <w:rFonts w:eastAsia="Calibri"/>
          <w:bCs/>
          <w:color w:val="FFFFFF" w:themeColor="background1"/>
          <w:sz w:val="24"/>
          <w:szCs w:val="24"/>
        </w:rPr>
        <w:tab/>
      </w:r>
      <w:r w:rsidRPr="00AA717C">
        <w:rPr>
          <w:rFonts w:eastAsia="Calibri"/>
          <w:bCs/>
          <w:color w:val="FFFFFF" w:themeColor="background1"/>
          <w:sz w:val="24"/>
          <w:szCs w:val="24"/>
        </w:rPr>
        <w:tab/>
      </w:r>
    </w:p>
    <w:p w:rsidR="00305EF2" w:rsidRPr="00AA717C" w:rsidRDefault="00305EF2" w:rsidP="00305EF2">
      <w:pPr>
        <w:spacing w:after="0"/>
        <w:ind w:firstLine="0"/>
        <w:rPr>
          <w:rFonts w:eastAsia="Calibri"/>
          <w:bCs/>
          <w:color w:val="FFFFFF" w:themeColor="background1"/>
          <w:sz w:val="24"/>
          <w:szCs w:val="24"/>
        </w:rPr>
      </w:pPr>
      <w:r w:rsidRPr="00AA717C">
        <w:rPr>
          <w:rFonts w:eastAsia="Calibri"/>
          <w:bCs/>
          <w:color w:val="FFFFFF" w:themeColor="background1"/>
          <w:sz w:val="24"/>
          <w:szCs w:val="24"/>
        </w:rPr>
        <w:t>Șef Serviciu, Andreea Coman</w:t>
      </w:r>
    </w:p>
    <w:p w:rsidR="00305EF2" w:rsidRPr="00AA717C" w:rsidRDefault="00305EF2" w:rsidP="00305EF2">
      <w:pPr>
        <w:spacing w:after="0"/>
        <w:rPr>
          <w:rFonts w:eastAsia="Calibri"/>
          <w:bCs/>
          <w:color w:val="FFFFFF" w:themeColor="background1"/>
          <w:sz w:val="24"/>
          <w:szCs w:val="24"/>
        </w:rPr>
      </w:pPr>
    </w:p>
    <w:p w:rsidR="00305EF2" w:rsidRPr="00AA717C" w:rsidRDefault="00305EF2" w:rsidP="00305EF2">
      <w:pPr>
        <w:spacing w:after="0"/>
        <w:ind w:firstLine="0"/>
        <w:rPr>
          <w:rFonts w:eastAsia="Calibri"/>
          <w:bCs/>
          <w:color w:val="FFFFFF" w:themeColor="background1"/>
          <w:sz w:val="24"/>
          <w:szCs w:val="24"/>
        </w:rPr>
      </w:pPr>
      <w:r w:rsidRPr="00AA717C">
        <w:rPr>
          <w:rFonts w:eastAsia="Calibri"/>
          <w:bCs/>
          <w:color w:val="FFFFFF" w:themeColor="background1"/>
          <w:sz w:val="24"/>
          <w:szCs w:val="24"/>
        </w:rPr>
        <w:t>Întocmit, Emilia Pavel</w:t>
      </w:r>
    </w:p>
    <w:p w:rsidR="00357AAF" w:rsidRPr="00AA717C" w:rsidRDefault="00124EA2">
      <w:pPr>
        <w:spacing w:after="0" w:line="276" w:lineRule="auto"/>
        <w:ind w:firstLine="0"/>
        <w:jc w:val="left"/>
        <w:rPr>
          <w:rFonts w:eastAsia="Calibri"/>
          <w:noProof/>
          <w:color w:val="FFFFFF" w:themeColor="background1"/>
          <w:sz w:val="24"/>
          <w:szCs w:val="24"/>
          <w:lang w:eastAsia="en-US"/>
        </w:rPr>
      </w:pPr>
      <w:r w:rsidRPr="00AA717C">
        <w:rPr>
          <w:rFonts w:eastAsia="Calibri"/>
          <w:noProof/>
          <w:color w:val="FFFFFF" w:themeColor="background1"/>
          <w:sz w:val="24"/>
          <w:szCs w:val="24"/>
          <w:lang w:eastAsia="en-US"/>
        </w:rPr>
        <w:t xml:space="preserve">rviciul Analiză și Avizare, </w:t>
      </w:r>
      <w:bookmarkStart w:id="0" w:name="_GoBack"/>
      <w:bookmarkEnd w:id="0"/>
    </w:p>
    <w:p w:rsidR="00305EF2" w:rsidRPr="00AA717C" w:rsidRDefault="00305EF2" w:rsidP="00305EF2">
      <w:pPr>
        <w:spacing w:after="0" w:line="276" w:lineRule="auto"/>
        <w:ind w:firstLine="0"/>
        <w:jc w:val="left"/>
        <w:rPr>
          <w:rFonts w:eastAsia="Calibri"/>
          <w:noProof/>
          <w:color w:val="FFFFFF" w:themeColor="background1"/>
          <w:sz w:val="24"/>
          <w:szCs w:val="24"/>
          <w:lang w:eastAsia="en-US"/>
        </w:rPr>
      </w:pPr>
      <w:r w:rsidRPr="00AA717C">
        <w:rPr>
          <w:rFonts w:eastAsia="Calibri"/>
          <w:noProof/>
          <w:color w:val="FFFFFF" w:themeColor="background1"/>
          <w:sz w:val="24"/>
          <w:szCs w:val="24"/>
          <w:lang w:eastAsia="en-US"/>
        </w:rPr>
        <w:t>Serviciul Analiză și Avizare</w:t>
      </w:r>
      <w:r w:rsidRPr="00AA717C">
        <w:rPr>
          <w:rFonts w:eastAsia="Calibri"/>
          <w:noProof/>
          <w:color w:val="FFFFFF" w:themeColor="background1"/>
          <w:sz w:val="24"/>
          <w:szCs w:val="24"/>
          <w:lang w:eastAsia="en-US"/>
        </w:rPr>
        <w:tab/>
      </w:r>
      <w:r w:rsidRPr="00AA717C">
        <w:rPr>
          <w:rFonts w:eastAsia="Calibri"/>
          <w:noProof/>
          <w:color w:val="FFFFFF" w:themeColor="background1"/>
          <w:sz w:val="24"/>
          <w:szCs w:val="24"/>
          <w:lang w:eastAsia="en-US"/>
        </w:rPr>
        <w:tab/>
      </w:r>
      <w:r w:rsidRPr="00AA717C">
        <w:rPr>
          <w:rFonts w:eastAsia="Calibri"/>
          <w:noProof/>
          <w:color w:val="FFFFFF" w:themeColor="background1"/>
          <w:sz w:val="24"/>
          <w:szCs w:val="24"/>
          <w:lang w:eastAsia="en-US"/>
        </w:rPr>
        <w:tab/>
      </w:r>
      <w:r w:rsidRPr="00AA717C">
        <w:rPr>
          <w:rFonts w:eastAsia="Calibri"/>
          <w:noProof/>
          <w:color w:val="FFFFFF" w:themeColor="background1"/>
          <w:sz w:val="24"/>
          <w:szCs w:val="24"/>
          <w:lang w:eastAsia="en-US"/>
        </w:rPr>
        <w:tab/>
      </w:r>
      <w:r w:rsidRPr="00AA717C">
        <w:rPr>
          <w:rFonts w:eastAsia="Calibri"/>
          <w:noProof/>
          <w:color w:val="FFFFFF" w:themeColor="background1"/>
          <w:sz w:val="24"/>
          <w:szCs w:val="24"/>
          <w:lang w:eastAsia="en-US"/>
        </w:rPr>
        <w:tab/>
      </w:r>
    </w:p>
    <w:p w:rsidR="00305EF2" w:rsidRPr="00AA717C" w:rsidRDefault="00305EF2" w:rsidP="00305EF2">
      <w:pPr>
        <w:spacing w:after="0" w:line="276" w:lineRule="auto"/>
        <w:ind w:firstLine="0"/>
        <w:jc w:val="left"/>
        <w:rPr>
          <w:rFonts w:eastAsia="Calibri"/>
          <w:noProof/>
          <w:color w:val="FFFFFF" w:themeColor="background1"/>
          <w:sz w:val="24"/>
          <w:szCs w:val="24"/>
          <w:lang w:eastAsia="en-US"/>
        </w:rPr>
      </w:pPr>
      <w:r w:rsidRPr="00AA717C">
        <w:rPr>
          <w:rFonts w:eastAsia="Calibri"/>
          <w:noProof/>
          <w:color w:val="FFFFFF" w:themeColor="background1"/>
          <w:sz w:val="24"/>
          <w:szCs w:val="24"/>
          <w:lang w:eastAsia="en-US"/>
        </w:rPr>
        <w:t>Șef Serviciu, Andreea Coman</w:t>
      </w:r>
    </w:p>
    <w:p w:rsidR="00305EF2" w:rsidRPr="00305EF2" w:rsidRDefault="00305EF2" w:rsidP="00305EF2">
      <w:pPr>
        <w:spacing w:after="0" w:line="276" w:lineRule="auto"/>
        <w:ind w:firstLine="0"/>
        <w:jc w:val="left"/>
        <w:rPr>
          <w:rFonts w:eastAsia="Calibri"/>
          <w:noProof/>
          <w:color w:val="FFFFFF" w:themeColor="background1"/>
          <w:sz w:val="24"/>
          <w:szCs w:val="24"/>
          <w:lang w:eastAsia="en-US"/>
        </w:rPr>
      </w:pPr>
    </w:p>
    <w:p w:rsidR="00357AAF" w:rsidRPr="00C77744" w:rsidRDefault="00305EF2" w:rsidP="00305EF2">
      <w:pPr>
        <w:spacing w:after="0" w:line="276" w:lineRule="auto"/>
        <w:ind w:firstLine="0"/>
        <w:jc w:val="left"/>
        <w:rPr>
          <w:rFonts w:eastAsia="Calibri"/>
          <w:noProof/>
          <w:color w:val="FFFFFF" w:themeColor="background1"/>
          <w:sz w:val="24"/>
          <w:szCs w:val="24"/>
          <w:lang w:eastAsia="en-US"/>
        </w:rPr>
      </w:pPr>
      <w:r w:rsidRPr="00305EF2">
        <w:rPr>
          <w:rFonts w:eastAsia="Calibri"/>
          <w:noProof/>
          <w:color w:val="FFFFFF" w:themeColor="background1"/>
          <w:sz w:val="24"/>
          <w:szCs w:val="24"/>
          <w:lang w:eastAsia="en-US"/>
        </w:rPr>
        <w:t>Întocmit, Emilia Pavel</w:t>
      </w:r>
      <w:r w:rsidR="00124EA2" w:rsidRPr="00C77744">
        <w:rPr>
          <w:rFonts w:eastAsia="Calibri"/>
          <w:noProof/>
          <w:color w:val="FFFFFF" w:themeColor="background1"/>
          <w:sz w:val="24"/>
          <w:szCs w:val="24"/>
          <w:lang w:eastAsia="en-US"/>
        </w:rPr>
        <w:t>Andreea Coman</w:t>
      </w:r>
    </w:p>
    <w:p w:rsidR="00357AAF" w:rsidRPr="00C77744" w:rsidRDefault="00357AAF">
      <w:pPr>
        <w:spacing w:after="0" w:line="276" w:lineRule="auto"/>
        <w:ind w:firstLine="0"/>
        <w:jc w:val="left"/>
        <w:rPr>
          <w:rFonts w:eastAsia="Calibri"/>
          <w:noProof/>
          <w:color w:val="auto"/>
          <w:sz w:val="24"/>
          <w:szCs w:val="24"/>
          <w:lang w:eastAsia="en-US"/>
        </w:rPr>
      </w:pPr>
    </w:p>
    <w:p w:rsidR="00357AAF" w:rsidRPr="00C77744" w:rsidRDefault="00357AAF">
      <w:pPr>
        <w:autoSpaceDE w:val="0"/>
        <w:autoSpaceDN w:val="0"/>
        <w:adjustRightInd w:val="0"/>
        <w:spacing w:after="0" w:line="276" w:lineRule="auto"/>
        <w:rPr>
          <w:b/>
          <w:bCs/>
          <w:i/>
          <w:iCs/>
          <w:color w:val="auto"/>
          <w:sz w:val="24"/>
          <w:szCs w:val="24"/>
        </w:rPr>
      </w:pPr>
    </w:p>
    <w:p w:rsidR="00C77744" w:rsidRPr="00C77744" w:rsidRDefault="00C77744">
      <w:pPr>
        <w:autoSpaceDE w:val="0"/>
        <w:autoSpaceDN w:val="0"/>
        <w:adjustRightInd w:val="0"/>
        <w:spacing w:after="0" w:line="276" w:lineRule="auto"/>
        <w:rPr>
          <w:b/>
          <w:bCs/>
          <w:i/>
          <w:iCs/>
          <w:color w:val="auto"/>
          <w:sz w:val="24"/>
          <w:szCs w:val="24"/>
        </w:rPr>
      </w:pPr>
    </w:p>
    <w:sectPr w:rsidR="00C77744" w:rsidRPr="00C77744">
      <w:headerReference w:type="even" r:id="rId9"/>
      <w:headerReference w:type="default" r:id="rId10"/>
      <w:footerReference w:type="default" r:id="rId11"/>
      <w:headerReference w:type="first" r:id="rId12"/>
      <w:pgSz w:w="11909" w:h="16838"/>
      <w:pgMar w:top="284" w:right="994" w:bottom="807" w:left="1133" w:header="283"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87" w:rsidRDefault="00137487">
      <w:pPr>
        <w:spacing w:after="0" w:line="240" w:lineRule="auto"/>
      </w:pPr>
      <w:r>
        <w:separator/>
      </w:r>
    </w:p>
  </w:endnote>
  <w:endnote w:type="continuationSeparator" w:id="0">
    <w:p w:rsidR="00137487" w:rsidRDefault="0013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AF" w:rsidRDefault="00124EA2">
    <w:pPr>
      <w:spacing w:after="0"/>
      <w:jc w:val="center"/>
      <w:rPr>
        <w:rFonts w:ascii="Trebuchet MS" w:hAnsi="Trebuchet MS"/>
        <w:color w:val="404040"/>
        <w:sz w:val="18"/>
        <w:szCs w:val="18"/>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-384810</wp:posOffset>
              </wp:positionH>
              <wp:positionV relativeFrom="paragraph">
                <wp:posOffset>-92076</wp:posOffset>
              </wp:positionV>
              <wp:extent cx="65341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rsidR="00357AAF" w:rsidRDefault="00137487">
    <w:pPr>
      <w:spacing w:after="0"/>
      <w:jc w:val="center"/>
    </w:pPr>
    <w:hyperlink r:id="rId1" w:history="1">
      <w:r w:rsidR="00124EA2">
        <w:rPr>
          <w:rStyle w:val="Hyperlink"/>
          <w:rFonts w:ascii="Trebuchet MS" w:hAnsi="Trebuchet MS"/>
          <w:color w:val="404040"/>
          <w:sz w:val="18"/>
          <w:szCs w:val="18"/>
        </w:rPr>
        <w:t>www.afm.ro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87" w:rsidRDefault="00137487">
      <w:pPr>
        <w:spacing w:after="0" w:line="240" w:lineRule="auto"/>
      </w:pPr>
      <w:r>
        <w:separator/>
      </w:r>
    </w:p>
  </w:footnote>
  <w:footnote w:type="continuationSeparator" w:id="0">
    <w:p w:rsidR="00137487" w:rsidRDefault="0013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AF" w:rsidRDefault="001374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6" o:spid="_x0000_s2050" type="#_x0000_t136" style="position:absolute;left:0;text-align:left;margin-left:0;margin-top:0;width:536.3pt;height:153.2pt;rotation:315;z-index:-251649024;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AF" w:rsidRDefault="00137487">
    <w:pPr>
      <w:pStyle w:val="Header"/>
      <w:ind w:left="-85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7" o:spid="_x0000_s2051" type="#_x0000_t136" style="position:absolute;left:0;text-align:left;margin-left:0;margin-top:0;width:536.3pt;height:153.2pt;rotation:315;z-index:-251646976;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p w:rsidR="00357AAF" w:rsidRDefault="00124EA2">
    <w:pPr>
      <w:pStyle w:val="Header"/>
      <w:ind w:left="-851"/>
    </w:pPr>
    <w:r>
      <w:rPr>
        <w:noProof/>
      </w:rPr>
      <w:drawing>
        <wp:anchor distT="0" distB="0" distL="114300" distR="114300" simplePos="0" relativeHeight="251661312" behindDoc="1" locked="0" layoutInCell="1" allowOverlap="1">
          <wp:simplePos x="0" y="0"/>
          <wp:positionH relativeFrom="column">
            <wp:posOffset>4819650</wp:posOffset>
          </wp:positionH>
          <wp:positionV relativeFrom="paragraph">
            <wp:posOffset>-97790</wp:posOffset>
          </wp:positionV>
          <wp:extent cx="1113155" cy="793115"/>
          <wp:effectExtent l="0" t="0" r="0" b="0"/>
          <wp:wrapNone/>
          <wp:docPr id="4" name="Picture 4" descr="sigla_A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A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-338455</wp:posOffset>
          </wp:positionH>
          <wp:positionV relativeFrom="paragraph">
            <wp:posOffset>-102870</wp:posOffset>
          </wp:positionV>
          <wp:extent cx="866775" cy="866775"/>
          <wp:effectExtent l="0" t="0" r="0" b="0"/>
          <wp:wrapNone/>
          <wp:docPr id="5" name="Picture 5" descr="stema_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guv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p>
  <w:p w:rsidR="00357AAF" w:rsidRDefault="00124EA2">
    <w:pPr>
      <w:pStyle w:val="Header"/>
      <w:ind w:left="-851"/>
    </w:pPr>
    <w:r>
      <w:rPr>
        <w:rFonts w:ascii="Trajan Pro" w:hAnsi="Trajan Pro"/>
        <w:sz w:val="20"/>
        <w:szCs w:val="20"/>
      </w:rPr>
      <w:t xml:space="preserve">                                    MINISTERUL MEDIULUI, APELOR ȘI PĂDURILOR</w:t>
    </w:r>
  </w:p>
  <w:p w:rsidR="00357AAF" w:rsidRDefault="00124EA2">
    <w:pPr>
      <w:pStyle w:val="Header"/>
      <w:tabs>
        <w:tab w:val="left" w:pos="8280"/>
      </w:tabs>
      <w:ind w:left="-851"/>
      <w:rPr>
        <w:rFonts w:ascii="Trajan Pro" w:hAnsi="Trajan Pro"/>
        <w:sz w:val="20"/>
        <w:szCs w:val="20"/>
      </w:rPr>
    </w:pPr>
    <w:r>
      <w:rPr>
        <w:rFonts w:ascii="Trajan Pro" w:hAnsi="Trajan Pro"/>
        <w:sz w:val="20"/>
        <w:szCs w:val="20"/>
      </w:rPr>
      <w:t xml:space="preserve">                                    ADMINISTRAȚIA FONDULUI PENTRU MEDIU                 </w:t>
    </w:r>
    <w:r>
      <w:rPr>
        <w:rFonts w:ascii="Trajan Pro" w:hAnsi="Trajan Pro"/>
        <w:sz w:val="20"/>
        <w:szCs w:val="20"/>
      </w:rPr>
      <w:tab/>
    </w:r>
  </w:p>
  <w:p w:rsidR="00357AAF" w:rsidRDefault="00124EA2">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-500380</wp:posOffset>
              </wp:positionH>
              <wp:positionV relativeFrom="paragraph">
                <wp:posOffset>309245</wp:posOffset>
              </wp:positionV>
              <wp:extent cx="6781800" cy="0"/>
              <wp:effectExtent l="13970" t="13970" r="14605" b="1460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81800" cy="0"/>
                      </a:xfrm>
                      <a:prstGeom prst="line">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" strokecolor="#2e74b5 [2404]" strokeweight="1.5pt">
              <o:lock v:ext="edit" shapetype="f"/>
            </v:line>
          </w:pict>
        </mc:Fallback>
      </mc:AlternateContent>
    </w:r>
  </w:p>
  <w:p w:rsidR="00357AAF" w:rsidRDefault="00357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AF" w:rsidRDefault="001374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8015" o:spid="_x0000_s2049" type="#_x0000_t136" style="position:absolute;left:0;text-align:left;margin-left:0;margin-top:0;width:536.3pt;height:153.2pt;rotation:315;z-index:-251651072;mso-position-horizontal:center;mso-position-horizontal-relative:margin;mso-position-vertical:center;mso-position-vertical-relative:margin" o:allowincell="f" fillcolor="#5b9bd5 [320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D88"/>
    <w:multiLevelType w:val="hybridMultilevel"/>
    <w:tmpl w:val="6408EF44"/>
    <w:lvl w:ilvl="0" w:tplc="04180001">
      <w:start w:val="1"/>
      <w:numFmt w:val="bullet"/>
      <w:lvlText w:val=""/>
      <w:lvlJc w:val="left"/>
      <w:pPr>
        <w:ind w:left="1430" w:hanging="360"/>
      </w:pPr>
      <w:rPr>
        <w:rFonts w:ascii="Symbol" w:hAnsi="Symbol"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1">
    <w:nsid w:val="4FF07A3C"/>
    <w:multiLevelType w:val="hybridMultilevel"/>
    <w:tmpl w:val="4860D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2522F4"/>
    <w:multiLevelType w:val="multilevel"/>
    <w:tmpl w:val="2E0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3600B"/>
    <w:multiLevelType w:val="multilevel"/>
    <w:tmpl w:val="8BD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AF"/>
    <w:rsid w:val="000621E3"/>
    <w:rsid w:val="00082CDC"/>
    <w:rsid w:val="00124EA2"/>
    <w:rsid w:val="00137487"/>
    <w:rsid w:val="001C2FD9"/>
    <w:rsid w:val="00305EF2"/>
    <w:rsid w:val="00357AAF"/>
    <w:rsid w:val="00427D1B"/>
    <w:rsid w:val="004719AC"/>
    <w:rsid w:val="00483EB8"/>
    <w:rsid w:val="00541B82"/>
    <w:rsid w:val="008A6605"/>
    <w:rsid w:val="008B2CF0"/>
    <w:rsid w:val="008D1237"/>
    <w:rsid w:val="00925414"/>
    <w:rsid w:val="009F4B79"/>
    <w:rsid w:val="00A573A8"/>
    <w:rsid w:val="00A960BB"/>
    <w:rsid w:val="00AA717C"/>
    <w:rsid w:val="00C30F02"/>
    <w:rsid w:val="00C64E6C"/>
    <w:rsid w:val="00C6659E"/>
    <w:rsid w:val="00C759EC"/>
    <w:rsid w:val="00C77744"/>
    <w:rsid w:val="00DA2DA2"/>
    <w:rsid w:val="00DF45CF"/>
    <w:rsid w:val="00E77996"/>
    <w:rsid w:val="00FD20B5"/>
    <w:rsid w:val="00FF47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86" w:lineRule="auto"/>
      <w:ind w:firstLine="7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9"/>
      <w:ind w:left="705"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NoSpacing">
    <w:name w:val="No Spacing"/>
    <w:uiPriority w:val="1"/>
    <w:qFormat/>
    <w:pPr>
      <w:spacing w:after="0" w:line="240" w:lineRule="auto"/>
    </w:pPr>
    <w:rPr>
      <w:rFonts w:ascii="Calibri" w:eastAsia="Calibri" w:hAnsi="Calibri" w:cs="Times New Roman"/>
      <w:lang w:eastAsia="en-US"/>
    </w:rPr>
  </w:style>
  <w:style w:type="character" w:styleId="Hyperlink">
    <w:name w:val="Hyperlink"/>
    <w:basedOn w:val="DefaultParagraphFont"/>
    <w:unhideWhenUsed/>
    <w:rPr>
      <w:color w:val="0000FF"/>
      <w:u w:val="single"/>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spubbdy1">
    <w:name w:val="s_pub_bdy1"/>
    <w:rPr>
      <w:rFonts w:ascii="Verdana" w:hAnsi="Verdana" w:hint="default"/>
      <w:b/>
      <w:bCs/>
      <w:color w:val="24689B"/>
      <w:sz w:val="21"/>
      <w:szCs w:val="21"/>
      <w:shd w:val="clear" w:color="auto" w:fill="FFFFFF"/>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6"/>
    </w:rPr>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6"/>
    </w:rPr>
  </w:style>
  <w:style w:type="paragraph" w:customStyle="1" w:styleId="shdr">
    <w:name w:val="s_hdr"/>
    <w:basedOn w:val="Normal"/>
    <w:pPr>
      <w:spacing w:before="72" w:after="72" w:line="240" w:lineRule="auto"/>
      <w:ind w:left="72" w:right="72" w:firstLine="0"/>
      <w:jc w:val="left"/>
    </w:pPr>
    <w:rPr>
      <w:rFonts w:ascii="Verdana" w:eastAsiaTheme="minorEastAsia" w:hAnsi="Verdana"/>
      <w:b/>
      <w:bCs/>
      <w:color w:val="333333"/>
      <w:sz w:val="20"/>
      <w:szCs w:val="20"/>
      <w:lang w:val="en-US" w:eastAsia="en-US"/>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Fontdeparagrafimplicit1">
    <w:name w:val="Font de paragraf implicit1"/>
    <w:uiPriority w:val="99"/>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86" w:lineRule="auto"/>
      <w:ind w:firstLine="7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9"/>
      <w:ind w:left="705"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NoSpacing">
    <w:name w:val="No Spacing"/>
    <w:uiPriority w:val="1"/>
    <w:qFormat/>
    <w:pPr>
      <w:spacing w:after="0" w:line="240" w:lineRule="auto"/>
    </w:pPr>
    <w:rPr>
      <w:rFonts w:ascii="Calibri" w:eastAsia="Calibri" w:hAnsi="Calibri" w:cs="Times New Roman"/>
      <w:lang w:eastAsia="en-US"/>
    </w:rPr>
  </w:style>
  <w:style w:type="character" w:styleId="Hyperlink">
    <w:name w:val="Hyperlink"/>
    <w:basedOn w:val="DefaultParagraphFont"/>
    <w:unhideWhenUsed/>
    <w:rPr>
      <w:color w:val="0000FF"/>
      <w:u w:val="single"/>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spubbdy1">
    <w:name w:val="s_pub_bdy1"/>
    <w:rPr>
      <w:rFonts w:ascii="Verdana" w:hAnsi="Verdana" w:hint="default"/>
      <w:b/>
      <w:bCs/>
      <w:color w:val="24689B"/>
      <w:sz w:val="21"/>
      <w:szCs w:val="21"/>
      <w:shd w:val="clear" w:color="auto" w:fill="FFFFFF"/>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6"/>
    </w:rPr>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6"/>
    </w:rPr>
  </w:style>
  <w:style w:type="paragraph" w:customStyle="1" w:styleId="shdr">
    <w:name w:val="s_hdr"/>
    <w:basedOn w:val="Normal"/>
    <w:pPr>
      <w:spacing w:before="72" w:after="72" w:line="240" w:lineRule="auto"/>
      <w:ind w:left="72" w:right="72" w:firstLine="0"/>
      <w:jc w:val="left"/>
    </w:pPr>
    <w:rPr>
      <w:rFonts w:ascii="Verdana" w:eastAsiaTheme="minorEastAsia" w:hAnsi="Verdana"/>
      <w:b/>
      <w:bCs/>
      <w:color w:val="333333"/>
      <w:sz w:val="20"/>
      <w:szCs w:val="20"/>
      <w:lang w:val="en-US" w:eastAsia="en-US"/>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Fontdeparagrafimplicit1">
    <w:name w:val="Font de paragraf implicit1"/>
    <w:uiPriority w:val="99"/>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3976">
      <w:bodyDiv w:val="1"/>
      <w:marLeft w:val="0"/>
      <w:marRight w:val="0"/>
      <w:marTop w:val="0"/>
      <w:marBottom w:val="0"/>
      <w:divBdr>
        <w:top w:val="none" w:sz="0" w:space="0" w:color="auto"/>
        <w:left w:val="none" w:sz="0" w:space="0" w:color="auto"/>
        <w:bottom w:val="none" w:sz="0" w:space="0" w:color="auto"/>
        <w:right w:val="none" w:sz="0" w:space="0" w:color="auto"/>
      </w:divBdr>
    </w:div>
    <w:div w:id="1079863170">
      <w:bodyDiv w:val="1"/>
      <w:marLeft w:val="0"/>
      <w:marRight w:val="0"/>
      <w:marTop w:val="0"/>
      <w:marBottom w:val="0"/>
      <w:divBdr>
        <w:top w:val="none" w:sz="0" w:space="0" w:color="auto"/>
        <w:left w:val="none" w:sz="0" w:space="0" w:color="auto"/>
        <w:bottom w:val="none" w:sz="0" w:space="0" w:color="auto"/>
        <w:right w:val="none" w:sz="0" w:space="0" w:color="auto"/>
      </w:divBdr>
    </w:div>
    <w:div w:id="1226910864">
      <w:bodyDiv w:val="1"/>
      <w:marLeft w:val="0"/>
      <w:marRight w:val="0"/>
      <w:marTop w:val="0"/>
      <w:marBottom w:val="0"/>
      <w:divBdr>
        <w:top w:val="none" w:sz="0" w:space="0" w:color="auto"/>
        <w:left w:val="none" w:sz="0" w:space="0" w:color="auto"/>
        <w:bottom w:val="none" w:sz="0" w:space="0" w:color="auto"/>
        <w:right w:val="none" w:sz="0" w:space="0" w:color="auto"/>
      </w:divBdr>
    </w:div>
    <w:div w:id="1705715833">
      <w:bodyDiv w:val="1"/>
      <w:marLeft w:val="0"/>
      <w:marRight w:val="0"/>
      <w:marTop w:val="0"/>
      <w:marBottom w:val="0"/>
      <w:divBdr>
        <w:top w:val="none" w:sz="0" w:space="0" w:color="auto"/>
        <w:left w:val="none" w:sz="0" w:space="0" w:color="auto"/>
        <w:bottom w:val="none" w:sz="0" w:space="0" w:color="auto"/>
        <w:right w:val="none" w:sz="0" w:space="0" w:color="auto"/>
      </w:divBdr>
      <w:divsChild>
        <w:div w:id="300310792">
          <w:marLeft w:val="0"/>
          <w:marRight w:val="0"/>
          <w:marTop w:val="0"/>
          <w:marBottom w:val="0"/>
          <w:divBdr>
            <w:top w:val="none" w:sz="0" w:space="0" w:color="auto"/>
            <w:left w:val="none" w:sz="0" w:space="0" w:color="auto"/>
            <w:bottom w:val="none" w:sz="0" w:space="0" w:color="auto"/>
            <w:right w:val="none" w:sz="0" w:space="0" w:color="auto"/>
          </w:divBdr>
          <w:divsChild>
            <w:div w:id="575818910">
              <w:marLeft w:val="0"/>
              <w:marRight w:val="0"/>
              <w:marTop w:val="0"/>
              <w:marBottom w:val="0"/>
              <w:divBdr>
                <w:top w:val="none" w:sz="0" w:space="0" w:color="auto"/>
                <w:left w:val="none" w:sz="0" w:space="0" w:color="auto"/>
                <w:bottom w:val="none" w:sz="0" w:space="0" w:color="auto"/>
                <w:right w:val="none" w:sz="0" w:space="0" w:color="auto"/>
              </w:divBdr>
            </w:div>
          </w:divsChild>
        </w:div>
        <w:div w:id="204831265">
          <w:marLeft w:val="0"/>
          <w:marRight w:val="0"/>
          <w:marTop w:val="0"/>
          <w:marBottom w:val="0"/>
          <w:divBdr>
            <w:top w:val="none" w:sz="0" w:space="0" w:color="auto"/>
            <w:left w:val="none" w:sz="0" w:space="0" w:color="auto"/>
            <w:bottom w:val="none" w:sz="0" w:space="0" w:color="auto"/>
            <w:right w:val="none" w:sz="0" w:space="0" w:color="auto"/>
          </w:divBdr>
        </w:div>
        <w:div w:id="1830901365">
          <w:marLeft w:val="0"/>
          <w:marRight w:val="0"/>
          <w:marTop w:val="0"/>
          <w:marBottom w:val="0"/>
          <w:divBdr>
            <w:top w:val="none" w:sz="0" w:space="0" w:color="auto"/>
            <w:left w:val="none" w:sz="0" w:space="0" w:color="auto"/>
            <w:bottom w:val="none" w:sz="0" w:space="0" w:color="auto"/>
            <w:right w:val="none" w:sz="0" w:space="0" w:color="auto"/>
          </w:divBdr>
        </w:div>
        <w:div w:id="2049185679">
          <w:marLeft w:val="0"/>
          <w:marRight w:val="0"/>
          <w:marTop w:val="0"/>
          <w:marBottom w:val="0"/>
          <w:divBdr>
            <w:top w:val="none" w:sz="0" w:space="0" w:color="auto"/>
            <w:left w:val="none" w:sz="0" w:space="0" w:color="auto"/>
            <w:bottom w:val="none" w:sz="0" w:space="0" w:color="auto"/>
            <w:right w:val="none" w:sz="0" w:space="0" w:color="auto"/>
          </w:divBdr>
        </w:div>
      </w:divsChild>
    </w:div>
    <w:div w:id="1776175486">
      <w:bodyDiv w:val="1"/>
      <w:marLeft w:val="0"/>
      <w:marRight w:val="0"/>
      <w:marTop w:val="0"/>
      <w:marBottom w:val="0"/>
      <w:divBdr>
        <w:top w:val="none" w:sz="0" w:space="0" w:color="auto"/>
        <w:left w:val="none" w:sz="0" w:space="0" w:color="auto"/>
        <w:bottom w:val="none" w:sz="0" w:space="0" w:color="auto"/>
        <w:right w:val="none" w:sz="0" w:space="0" w:color="auto"/>
      </w:divBdr>
    </w:div>
    <w:div w:id="200828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AB99-1022-4634-B1FE-DE7393B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572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Andrei.Sfirloaga</dc:creator>
  <cp:keywords/>
  <cp:lastModifiedBy>Emilia PAVEL</cp:lastModifiedBy>
  <cp:revision>151</cp:revision>
  <cp:lastPrinted>2022-11-28T09:17:00Z</cp:lastPrinted>
  <dcterms:created xsi:type="dcterms:W3CDTF">2022-06-23T10:16:00Z</dcterms:created>
  <dcterms:modified xsi:type="dcterms:W3CDTF">2022-11-28T14:16:00Z</dcterms:modified>
</cp:coreProperties>
</file>