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4EA7E5DA" w:rsidR="00851FFB"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6C1FDF">
        <w:rPr>
          <w:rFonts w:eastAsia="MS Mincho" w:cs="Times New Roman"/>
          <w:color w:val="auto"/>
          <w:sz w:val="24"/>
          <w:szCs w:val="24"/>
          <w:lang w:val="en-US"/>
        </w:rPr>
        <w:t>D</w:t>
      </w:r>
      <w:r w:rsidR="00956397">
        <w:rPr>
          <w:rFonts w:eastAsia="MS Mincho" w:cs="Times New Roman"/>
          <w:color w:val="auto"/>
          <w:sz w:val="24"/>
          <w:szCs w:val="24"/>
          <w:lang w:val="en-US"/>
        </w:rPr>
        <w:t>G</w:t>
      </w:r>
      <w:r w:rsidR="006C1FDF">
        <w:rPr>
          <w:rFonts w:eastAsia="MS Mincho" w:cs="Times New Roman"/>
          <w:color w:val="auto"/>
          <w:sz w:val="24"/>
          <w:szCs w:val="24"/>
          <w:lang w:val="en-US"/>
        </w:rPr>
        <w:t>B/</w:t>
      </w:r>
      <w:r w:rsidR="006265CE">
        <w:rPr>
          <w:rFonts w:eastAsia="MS Mincho" w:cs="Times New Roman"/>
          <w:color w:val="auto"/>
          <w:sz w:val="24"/>
          <w:szCs w:val="24"/>
          <w:lang w:val="en-US"/>
        </w:rPr>
        <w:t>121284/</w:t>
      </w:r>
      <w:r w:rsidR="00073649">
        <w:rPr>
          <w:rFonts w:eastAsia="MS Mincho" w:cs="Times New Roman"/>
          <w:color w:val="auto"/>
          <w:sz w:val="24"/>
          <w:szCs w:val="24"/>
          <w:lang w:val="en-US"/>
        </w:rPr>
        <w:t>01.02.2023</w:t>
      </w:r>
      <w:bookmarkStart w:id="0" w:name="_GoBack"/>
      <w:bookmarkEnd w:id="0"/>
    </w:p>
    <w:p w14:paraId="4B76EC86" w14:textId="77777777" w:rsidR="008E2287" w:rsidRPr="00FC5C38" w:rsidRDefault="008E2287" w:rsidP="002865DB">
      <w:pPr>
        <w:spacing w:before="0" w:after="0"/>
        <w:ind w:left="-1134" w:firstLine="720"/>
        <w:rPr>
          <w:rFonts w:eastAsia="MS Mincho" w:cs="Times New Roman"/>
          <w:color w:val="auto"/>
          <w:sz w:val="24"/>
          <w:szCs w:val="24"/>
          <w:lang w:val="en-US"/>
        </w:rPr>
      </w:pPr>
    </w:p>
    <w:p w14:paraId="5DCF875C" w14:textId="77777777" w:rsidR="00851FFB" w:rsidRPr="00FC5C38" w:rsidRDefault="00851FFB" w:rsidP="00851FFB">
      <w:pPr>
        <w:spacing w:before="0" w:after="0"/>
        <w:rPr>
          <w:rFonts w:eastAsia="MS Mincho" w:cs="Times New Roman"/>
          <w:color w:val="auto"/>
          <w:sz w:val="24"/>
          <w:szCs w:val="24"/>
        </w:rPr>
      </w:pP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7B23152F"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C26FA4">
        <w:rPr>
          <w:rFonts w:eastAsia="MS Mincho" w:cs="Times New Roman"/>
          <w:color w:val="auto"/>
        </w:rPr>
        <w:t>, transportul și eliberarea</w:t>
      </w:r>
      <w:r w:rsidR="008E2287">
        <w:rPr>
          <w:rFonts w:eastAsia="MS Mincho" w:cs="Times New Roman"/>
          <w:color w:val="auto"/>
        </w:rPr>
        <w:t xml:space="preserve"> unor exemplare de zimbrii (</w:t>
      </w:r>
      <w:r w:rsidRPr="00313F73">
        <w:rPr>
          <w:rFonts w:eastAsia="MS Mincho" w:cs="Times New Roman"/>
          <w:i/>
          <w:color w:val="auto"/>
        </w:rPr>
        <w:t>Bison bonasus</w:t>
      </w:r>
      <w:r w:rsidRPr="00313F73">
        <w:rPr>
          <w:rFonts w:eastAsia="MS Mincho" w:cs="Times New Roman"/>
          <w:color w:val="auto"/>
        </w:rPr>
        <w:t>) 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06A389A0" w14:textId="4F7C469A" w:rsid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stat prevederile art. 38 alin. (2) din Ordonanţa de urgenţă a Guvernului nr. 57/2007 privind regimul ariilor naturale protejate, conservarea habitatelor naturale, a florei şi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ministrului mediului şi al ministrului agriculturii, pădurilor şi dezvoltării rurale nr. 203/14/2009 privind procedura de stabilire a derogărilor de la măsurile de protecţie a speciilor de floră şi faună sălbatică.</w:t>
      </w:r>
    </w:p>
    <w:p w14:paraId="01609905" w14:textId="77777777" w:rsidR="008A2678" w:rsidRPr="00313F73" w:rsidRDefault="008A2678" w:rsidP="00620D09">
      <w:pPr>
        <w:spacing w:before="0" w:after="0" w:line="360" w:lineRule="auto"/>
        <w:ind w:left="-810" w:firstLine="810"/>
        <w:rPr>
          <w:rFonts w:eastAsia="MS Mincho" w:cs="Times New Roman"/>
          <w:color w:val="auto"/>
        </w:rPr>
      </w:pPr>
    </w:p>
    <w:p w14:paraId="5D3DE4DD" w14:textId="6891A14B" w:rsidR="00C56AB4" w:rsidRDefault="00046C6A" w:rsidP="00236F22">
      <w:pPr>
        <w:spacing w:before="0" w:after="0" w:line="360" w:lineRule="auto"/>
        <w:ind w:left="-810" w:firstLine="810"/>
        <w:rPr>
          <w:rFonts w:eastAsia="MS Mincho" w:cs="Times New Roman"/>
          <w:color w:val="auto"/>
        </w:rPr>
      </w:pPr>
      <w:r>
        <w:rPr>
          <w:rFonts w:eastAsia="MS Mincho" w:cs="Times New Roman"/>
          <w:color w:val="auto"/>
        </w:rPr>
        <w:lastRenderedPageBreak/>
        <w:t xml:space="preserve">Derogarea </w:t>
      </w:r>
      <w:r w:rsidR="002B6EB8">
        <w:rPr>
          <w:rFonts w:eastAsia="MS Mincho" w:cs="Times New Roman"/>
          <w:color w:val="auto"/>
        </w:rPr>
        <w:t>se acordă</w:t>
      </w:r>
      <w:r w:rsidR="00493E52">
        <w:rPr>
          <w:rFonts w:eastAsia="MS Mincho" w:cs="Times New Roman"/>
          <w:color w:val="auto"/>
        </w:rPr>
        <w:t xml:space="preserve"> Asociației WWF România</w:t>
      </w:r>
      <w:r w:rsidR="002B2242">
        <w:rPr>
          <w:rFonts w:eastAsia="MS Mincho" w:cs="Times New Roman"/>
          <w:color w:val="auto"/>
        </w:rPr>
        <w:t>. Exem</w:t>
      </w:r>
      <w:r w:rsidR="00D23183">
        <w:rPr>
          <w:rFonts w:eastAsia="MS Mincho" w:cs="Times New Roman"/>
          <w:color w:val="auto"/>
        </w:rPr>
        <w:t>plarele se vor reloca î</w:t>
      </w:r>
      <w:r w:rsidR="00CB756F">
        <w:rPr>
          <w:rFonts w:eastAsia="MS Mincho" w:cs="Times New Roman"/>
          <w:color w:val="auto"/>
        </w:rPr>
        <w:t>n zona proiectului Life18 Nat/RO/001082 implementat de Fundația Conservation Carpathia în ROSCI0122 Munții Făgăraș</w:t>
      </w:r>
      <w:r w:rsidR="008E6EBD">
        <w:rPr>
          <w:rFonts w:eastAsia="MS Mincho" w:cs="Times New Roman"/>
          <w:color w:val="auto"/>
        </w:rPr>
        <w:t>, ca urmare a producerii</w:t>
      </w:r>
      <w:r w:rsidR="00547CC8">
        <w:rPr>
          <w:rFonts w:eastAsia="MS Mincho" w:cs="Times New Roman"/>
          <w:color w:val="auto"/>
        </w:rPr>
        <w:t xml:space="preserve"> de conflict</w:t>
      </w:r>
      <w:r w:rsidR="0009679B">
        <w:rPr>
          <w:rFonts w:eastAsia="MS Mincho" w:cs="Times New Roman"/>
          <w:color w:val="auto"/>
        </w:rPr>
        <w:t>e</w:t>
      </w:r>
      <w:r w:rsidR="00547CC8">
        <w:rPr>
          <w:rFonts w:eastAsia="MS Mincho" w:cs="Times New Roman"/>
          <w:color w:val="auto"/>
        </w:rPr>
        <w:t xml:space="preserve"> în mod constant.</w:t>
      </w:r>
      <w:r w:rsidR="002D36EF">
        <w:rPr>
          <w:rFonts w:eastAsia="MS Mincho" w:cs="Times New Roman"/>
          <w:color w:val="auto"/>
        </w:rPr>
        <w:t xml:space="preserve"> Aceste exemplare au început să frecventeze zone locuite </w:t>
      </w:r>
      <w:r w:rsidR="001F698E">
        <w:rPr>
          <w:rFonts w:eastAsia="MS Mincho" w:cs="Times New Roman"/>
          <w:color w:val="auto"/>
        </w:rPr>
        <w:t>încă di</w:t>
      </w:r>
      <w:r w:rsidR="00F73415">
        <w:rPr>
          <w:rFonts w:eastAsia="MS Mincho" w:cs="Times New Roman"/>
          <w:color w:val="auto"/>
        </w:rPr>
        <w:t>n primăvara anului 2022, producând daune substanțiale culturilor agricole și livezilor din Comuna Cornereva, jud. Caraș- Severin.</w:t>
      </w:r>
      <w:r w:rsidR="001E7E4B">
        <w:rPr>
          <w:rFonts w:eastAsia="MS Mincho" w:cs="Times New Roman"/>
          <w:color w:val="auto"/>
        </w:rPr>
        <w:t xml:space="preserve"> Fundația </w:t>
      </w:r>
      <w:r w:rsidR="009438F5">
        <w:rPr>
          <w:rFonts w:eastAsia="MS Mincho" w:cs="Times New Roman"/>
          <w:color w:val="auto"/>
        </w:rPr>
        <w:t>Conservation Carpathia deține atât echipamentul și facilitățil</w:t>
      </w:r>
      <w:r w:rsidR="004E08D8">
        <w:rPr>
          <w:rFonts w:eastAsia="MS Mincho" w:cs="Times New Roman"/>
          <w:color w:val="auto"/>
        </w:rPr>
        <w:t>e necesare relocării animalelor</w:t>
      </w:r>
      <w:r w:rsidR="00E663DC">
        <w:rPr>
          <w:rFonts w:eastAsia="MS Mincho" w:cs="Times New Roman"/>
          <w:color w:val="auto"/>
        </w:rPr>
        <w:t xml:space="preserve"> (</w:t>
      </w:r>
      <w:r w:rsidR="004E08D8">
        <w:rPr>
          <w:rFonts w:eastAsia="MS Mincho" w:cs="Times New Roman"/>
          <w:color w:val="auto"/>
        </w:rPr>
        <w:t>țarcurile de aclimatizare fiind localizate la distanță mare față de localități)</w:t>
      </w:r>
      <w:r w:rsidR="00D240FB">
        <w:rPr>
          <w:rFonts w:eastAsia="MS Mincho" w:cs="Times New Roman"/>
          <w:color w:val="auto"/>
        </w:rPr>
        <w:t>, cât și personal calificat pentru implementarea de activități specifice procesului de reintroducere a zimbrilor și monitorizarea acestora după eliberarea în sălbăticie.</w:t>
      </w:r>
    </w:p>
    <w:p w14:paraId="5301D3DD" w14:textId="01AD3F4D" w:rsidR="008E457E" w:rsidRPr="00E67518" w:rsidRDefault="008E457E" w:rsidP="00236F22">
      <w:pPr>
        <w:spacing w:before="0" w:after="0" w:line="360" w:lineRule="auto"/>
        <w:ind w:left="-810" w:firstLine="810"/>
        <w:rPr>
          <w:rFonts w:eastAsia="MS Mincho" w:cs="Times New Roman"/>
          <w:color w:val="auto"/>
        </w:rPr>
      </w:pPr>
      <w:r>
        <w:rPr>
          <w:rFonts w:eastAsia="MS Mincho" w:cs="Times New Roman"/>
          <w:color w:val="auto"/>
        </w:rPr>
        <w:t>Asociația WWF România a solicitat urgentarea procedurii pentru tranchilizarea și relocare</w:t>
      </w:r>
      <w:r w:rsidR="00C03713">
        <w:rPr>
          <w:rFonts w:eastAsia="MS Mincho" w:cs="Times New Roman"/>
          <w:color w:val="auto"/>
        </w:rPr>
        <w:t>a celor 3 masculi de zimbru, de</w:t>
      </w:r>
      <w:r>
        <w:rPr>
          <w:rFonts w:eastAsia="MS Mincho" w:cs="Times New Roman"/>
          <w:color w:val="auto"/>
        </w:rPr>
        <w:t>o</w:t>
      </w:r>
      <w:r w:rsidR="00C03713">
        <w:rPr>
          <w:rFonts w:eastAsia="MS Mincho" w:cs="Times New Roman"/>
          <w:color w:val="auto"/>
        </w:rPr>
        <w:t>a</w:t>
      </w:r>
      <w:r>
        <w:rPr>
          <w:rFonts w:eastAsia="MS Mincho" w:cs="Times New Roman"/>
          <w:color w:val="auto"/>
        </w:rPr>
        <w:t>rece aceștia au produs și contin</w:t>
      </w:r>
      <w:r w:rsidR="00C03713">
        <w:rPr>
          <w:rFonts w:eastAsia="MS Mincho" w:cs="Times New Roman"/>
          <w:color w:val="auto"/>
        </w:rPr>
        <w:t xml:space="preserve">uă să producă pagube importante în zonă. Au fost folosite până în prezent toate modalitățile de </w:t>
      </w:r>
      <w:r w:rsidR="00C14423">
        <w:rPr>
          <w:rFonts w:eastAsia="MS Mincho" w:cs="Times New Roman"/>
          <w:color w:val="auto"/>
        </w:rPr>
        <w:t>a</w:t>
      </w:r>
      <w:r w:rsidR="00746750">
        <w:rPr>
          <w:rFonts w:eastAsia="MS Mincho" w:cs="Times New Roman"/>
          <w:color w:val="auto"/>
        </w:rPr>
        <w:t>lungare legale</w:t>
      </w:r>
      <w:r w:rsidR="00746750" w:rsidRPr="00E67518">
        <w:rPr>
          <w:rFonts w:eastAsia="MS Mincho" w:cs="Times New Roman"/>
          <w:color w:val="auto"/>
        </w:rPr>
        <w:t xml:space="preserve">, dar acestea </w:t>
      </w:r>
      <w:r w:rsidR="00C14423" w:rsidRPr="00E67518">
        <w:rPr>
          <w:rFonts w:eastAsia="MS Mincho" w:cs="Times New Roman"/>
          <w:color w:val="auto"/>
        </w:rPr>
        <w:t>nu au reușit să ducă la îndepărtarea celor 3 masculi.</w:t>
      </w:r>
    </w:p>
    <w:p w14:paraId="0C0E01C3" w14:textId="2DDA463A" w:rsidR="003C6CAD" w:rsidRPr="00E67518" w:rsidRDefault="00E67518" w:rsidP="00E67518">
      <w:pPr>
        <w:spacing w:before="0" w:after="0" w:line="360" w:lineRule="auto"/>
        <w:ind w:left="-810" w:firstLine="810"/>
        <w:rPr>
          <w:rFonts w:eastAsia="MS Mincho" w:cs="Times New Roman"/>
          <w:bCs/>
          <w:i/>
          <w:color w:val="auto"/>
        </w:rPr>
      </w:pPr>
      <w:r w:rsidRPr="00E67518">
        <w:rPr>
          <w:rFonts w:eastAsia="MS Mincho" w:cs="Times New Roman"/>
          <w:bCs/>
          <w:color w:val="auto"/>
        </w:rPr>
        <w:t>Ținând cont de precizările anterioare, considerăm oportună respectarea prevederilor</w:t>
      </w:r>
      <w:r w:rsidRPr="00E67518">
        <w:rPr>
          <w:rFonts w:eastAsia="MS Mincho" w:cs="Times New Roman"/>
          <w:bCs/>
          <w:i/>
          <w:color w:val="auto"/>
        </w:rPr>
        <w:t xml:space="preserve"> art. 7 alin. (13) din Legea 52/2003 privind transparența decizională în admi</w:t>
      </w:r>
      <w:r w:rsidR="00F52FF7">
        <w:rPr>
          <w:rFonts w:eastAsia="MS Mincho" w:cs="Times New Roman"/>
          <w:bCs/>
          <w:i/>
          <w:color w:val="auto"/>
        </w:rPr>
        <w:t>nistrația publică, republicată, astfel</w:t>
      </w:r>
      <w:r w:rsidR="002E416A">
        <w:rPr>
          <w:rFonts w:eastAsia="MS Mincho" w:cs="Times New Roman"/>
          <w:bCs/>
          <w:color w:val="auto"/>
        </w:rPr>
        <w:t xml:space="preserve"> </w:t>
      </w:r>
      <w:r w:rsidR="006675C8" w:rsidRPr="006675C8">
        <w:rPr>
          <w:rFonts w:eastAsia="MS Mincho" w:cs="Times New Roman"/>
          <w:bCs/>
          <w:i/>
          <w:color w:val="auto"/>
          <w:lang w:val="en-US"/>
        </w:rPr>
        <w:t>“</w:t>
      </w:r>
      <w:r w:rsidR="002E416A" w:rsidRPr="006675C8">
        <w:rPr>
          <w:rFonts w:eastAsia="MS Mincho" w:cs="Times New Roman"/>
          <w:bCs/>
          <w:i/>
          <w:color w:val="auto"/>
        </w:rPr>
        <w:t>prin excepţie de la prevederile alin. (2), în cazul reglementării unei situaţii urgente sau a uneia care, din cauza circumstanţelor sale excepţionale, impune adoptarea de soluţii imediate, în vederea evitării unei grave atingeri aduse interesului public, proiectele de acte normative se supun adoptării şi anterior expirării termenului prevăzut de respectivul alineat</w:t>
      </w:r>
      <w:r w:rsidR="002C7EA8" w:rsidRPr="006675C8">
        <w:rPr>
          <w:rFonts w:eastAsia="MS Mincho" w:cs="Times New Roman"/>
          <w:bCs/>
          <w:i/>
          <w:color w:val="auto"/>
        </w:rPr>
        <w:t>”.</w:t>
      </w:r>
    </w:p>
    <w:p w14:paraId="77037170" w14:textId="49FC29FD" w:rsidR="00C12330" w:rsidRPr="008C7F1C" w:rsidRDefault="00C12330" w:rsidP="00620D09">
      <w:pPr>
        <w:spacing w:before="0" w:after="0" w:line="360" w:lineRule="auto"/>
        <w:ind w:left="-810" w:firstLine="810"/>
        <w:rPr>
          <w:rFonts w:eastAsia="MS Mincho" w:cs="Times New Roman"/>
          <w:color w:val="auto"/>
        </w:rPr>
      </w:pPr>
      <w:r>
        <w:rPr>
          <w:rFonts w:eastAsia="MS Mincho" w:cs="Times New Roman"/>
          <w:color w:val="auto"/>
        </w:rPr>
        <w:t xml:space="preserve">Având în vedere cele menționate anterior, propunem spre aprobare prezentul </w:t>
      </w:r>
      <w:r w:rsidR="008C42B9">
        <w:rPr>
          <w:rFonts w:eastAsia="MS Mincho" w:cs="Times New Roman"/>
          <w:color w:val="auto"/>
        </w:rPr>
        <w:t>proiect de ordin.</w:t>
      </w:r>
    </w:p>
    <w:p w14:paraId="04A0B9FD" w14:textId="77777777" w:rsidR="005F14E3" w:rsidRDefault="005F14E3" w:rsidP="00620D09">
      <w:pPr>
        <w:spacing w:before="0" w:after="0" w:line="360" w:lineRule="auto"/>
        <w:ind w:left="-810" w:firstLine="810"/>
        <w:rPr>
          <w:rFonts w:eastAsia="MS Mincho" w:cs="Times New Roman"/>
          <w:color w:val="auto"/>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121E732" w14:textId="555E28E1" w:rsidR="00313F73" w:rsidRPr="00313F73" w:rsidRDefault="00313F73" w:rsidP="00C272DC">
      <w:pPr>
        <w:spacing w:before="0" w:after="0" w:line="240" w:lineRule="auto"/>
        <w:jc w:val="center"/>
        <w:rPr>
          <w:rFonts w:ascii="Times New Roman" w:eastAsia="MS Mincho" w:hAnsi="Times New Roman" w:cs="Times New Roman"/>
          <w:color w:val="auto"/>
          <w:sz w:val="28"/>
          <w:szCs w:val="28"/>
        </w:rPr>
      </w:pPr>
      <w:r w:rsidRPr="00313F73">
        <w:rPr>
          <w:rFonts w:ascii="Times New Roman" w:eastAsia="MS Mincho" w:hAnsi="Times New Roman" w:cs="Times New Roman"/>
          <w:b/>
          <w:color w:val="auto"/>
          <w:sz w:val="24"/>
          <w:szCs w:val="24"/>
        </w:rPr>
        <w:t>Daniela DRĂCEA</w:t>
      </w:r>
    </w:p>
    <w:p w14:paraId="4CAF3E35"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8"/>
          <w:szCs w:val="28"/>
        </w:rPr>
      </w:pPr>
    </w:p>
    <w:p w14:paraId="2A153492" w14:textId="77777777" w:rsidR="00313F73" w:rsidRDefault="00313F73" w:rsidP="00313F73">
      <w:pPr>
        <w:rPr>
          <w:b/>
          <w:sz w:val="28"/>
          <w:szCs w:val="28"/>
        </w:rPr>
      </w:pPr>
    </w:p>
    <w:p w14:paraId="70FA1587" w14:textId="77777777" w:rsidR="00313F73" w:rsidRDefault="00313F73" w:rsidP="00851FFB">
      <w:pPr>
        <w:autoSpaceDE w:val="0"/>
        <w:autoSpaceDN w:val="0"/>
        <w:adjustRightInd w:val="0"/>
        <w:spacing w:before="0" w:after="0" w:line="240" w:lineRule="auto"/>
        <w:jc w:val="left"/>
        <w:rPr>
          <w:rFonts w:cs="Times New Roman"/>
          <w:iCs/>
          <w:color w:val="auto"/>
          <w:sz w:val="24"/>
          <w:szCs w:val="24"/>
          <w:lang w:val="en-US"/>
        </w:rPr>
      </w:pPr>
    </w:p>
    <w:p w14:paraId="72400F97" w14:textId="77777777" w:rsidR="00851FFB" w:rsidRPr="00FC5C38" w:rsidRDefault="00851FFB"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29F8BBFE" w14:textId="3364F75D" w:rsidR="00851FFB" w:rsidRPr="00FC5C38" w:rsidRDefault="00851FFB" w:rsidP="0001160F">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 Direcția</w:t>
      </w:r>
      <w:r w:rsidR="00323EE6">
        <w:rPr>
          <w:sz w:val="24"/>
          <w:szCs w:val="24"/>
        </w:rPr>
        <w:t xml:space="preserve"> Generală</w:t>
      </w:r>
      <w:r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A7B44" w14:textId="77777777" w:rsidR="0061159C" w:rsidRDefault="0061159C" w:rsidP="009772BD">
      <w:r>
        <w:separator/>
      </w:r>
    </w:p>
  </w:endnote>
  <w:endnote w:type="continuationSeparator" w:id="0">
    <w:p w14:paraId="448741A7" w14:textId="77777777" w:rsidR="0061159C" w:rsidRDefault="0061159C"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513AA" w14:textId="77777777" w:rsidR="0061159C" w:rsidRDefault="0061159C" w:rsidP="009772BD">
      <w:r>
        <w:separator/>
      </w:r>
    </w:p>
  </w:footnote>
  <w:footnote w:type="continuationSeparator" w:id="0">
    <w:p w14:paraId="76605B23" w14:textId="77777777" w:rsidR="0061159C" w:rsidRDefault="0061159C"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24"/>
  </w:num>
  <w:num w:numId="6">
    <w:abstractNumId w:val="7"/>
  </w:num>
  <w:num w:numId="7">
    <w:abstractNumId w:val="4"/>
  </w:num>
  <w:num w:numId="8">
    <w:abstractNumId w:val="12"/>
  </w:num>
  <w:num w:numId="9">
    <w:abstractNumId w:val="0"/>
  </w:num>
  <w:num w:numId="10">
    <w:abstractNumId w:val="11"/>
  </w:num>
  <w:num w:numId="11">
    <w:abstractNumId w:val="16"/>
  </w:num>
  <w:num w:numId="12">
    <w:abstractNumId w:val="6"/>
  </w:num>
  <w:num w:numId="13">
    <w:abstractNumId w:val="9"/>
  </w:num>
  <w:num w:numId="14">
    <w:abstractNumId w:val="1"/>
  </w:num>
  <w:num w:numId="15">
    <w:abstractNumId w:val="23"/>
  </w:num>
  <w:num w:numId="16">
    <w:abstractNumId w:val="20"/>
  </w:num>
  <w:num w:numId="17">
    <w:abstractNumId w:val="5"/>
  </w:num>
  <w:num w:numId="18">
    <w:abstractNumId w:val="19"/>
  </w:num>
  <w:num w:numId="19">
    <w:abstractNumId w:val="22"/>
  </w:num>
  <w:num w:numId="20">
    <w:abstractNumId w:val="21"/>
  </w:num>
  <w:num w:numId="21">
    <w:abstractNumId w:val="18"/>
  </w:num>
  <w:num w:numId="22">
    <w:abstractNumId w:val="15"/>
  </w:num>
  <w:num w:numId="23">
    <w:abstractNumId w:val="14"/>
  </w:num>
  <w:num w:numId="24">
    <w:abstractNumId w:val="25"/>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60F"/>
    <w:rsid w:val="00011C4C"/>
    <w:rsid w:val="00046C6A"/>
    <w:rsid w:val="00073649"/>
    <w:rsid w:val="000745D4"/>
    <w:rsid w:val="0009679B"/>
    <w:rsid w:val="0009796B"/>
    <w:rsid w:val="000A392A"/>
    <w:rsid w:val="000A6F4E"/>
    <w:rsid w:val="000D1385"/>
    <w:rsid w:val="000D74FF"/>
    <w:rsid w:val="000E3ED0"/>
    <w:rsid w:val="001136EA"/>
    <w:rsid w:val="00123D86"/>
    <w:rsid w:val="001466DC"/>
    <w:rsid w:val="00154BBE"/>
    <w:rsid w:val="001657B1"/>
    <w:rsid w:val="0019041F"/>
    <w:rsid w:val="001A5786"/>
    <w:rsid w:val="001E7E4B"/>
    <w:rsid w:val="001F698E"/>
    <w:rsid w:val="00203303"/>
    <w:rsid w:val="00225F7B"/>
    <w:rsid w:val="002328DD"/>
    <w:rsid w:val="00236F22"/>
    <w:rsid w:val="002424B7"/>
    <w:rsid w:val="002443FB"/>
    <w:rsid w:val="0026039F"/>
    <w:rsid w:val="00262BE3"/>
    <w:rsid w:val="0026628D"/>
    <w:rsid w:val="00283C69"/>
    <w:rsid w:val="002865DB"/>
    <w:rsid w:val="002B2242"/>
    <w:rsid w:val="002B43CB"/>
    <w:rsid w:val="002B6EB8"/>
    <w:rsid w:val="002C7EA8"/>
    <w:rsid w:val="002D36EF"/>
    <w:rsid w:val="002D7A5B"/>
    <w:rsid w:val="002E416A"/>
    <w:rsid w:val="002F4F8B"/>
    <w:rsid w:val="00313F73"/>
    <w:rsid w:val="0032127D"/>
    <w:rsid w:val="00323EE6"/>
    <w:rsid w:val="0033769A"/>
    <w:rsid w:val="00342E32"/>
    <w:rsid w:val="0035488C"/>
    <w:rsid w:val="00355A6B"/>
    <w:rsid w:val="00362644"/>
    <w:rsid w:val="003A4361"/>
    <w:rsid w:val="003A63C0"/>
    <w:rsid w:val="003C0D96"/>
    <w:rsid w:val="003C6CAD"/>
    <w:rsid w:val="0040453A"/>
    <w:rsid w:val="00411ABA"/>
    <w:rsid w:val="0041379C"/>
    <w:rsid w:val="0042307F"/>
    <w:rsid w:val="004254FE"/>
    <w:rsid w:val="00425EED"/>
    <w:rsid w:val="00427F6D"/>
    <w:rsid w:val="00443548"/>
    <w:rsid w:val="00443665"/>
    <w:rsid w:val="00481F47"/>
    <w:rsid w:val="00487440"/>
    <w:rsid w:val="00490A0B"/>
    <w:rsid w:val="00493E52"/>
    <w:rsid w:val="004A15E0"/>
    <w:rsid w:val="004A7D2F"/>
    <w:rsid w:val="004B090A"/>
    <w:rsid w:val="004B0A7C"/>
    <w:rsid w:val="004B243A"/>
    <w:rsid w:val="004E08D8"/>
    <w:rsid w:val="004E1DBC"/>
    <w:rsid w:val="00543F78"/>
    <w:rsid w:val="00547CC8"/>
    <w:rsid w:val="005521AD"/>
    <w:rsid w:val="00555F7F"/>
    <w:rsid w:val="0056066E"/>
    <w:rsid w:val="005758A2"/>
    <w:rsid w:val="00586D30"/>
    <w:rsid w:val="0059279C"/>
    <w:rsid w:val="005A5616"/>
    <w:rsid w:val="005B1E98"/>
    <w:rsid w:val="005C7D44"/>
    <w:rsid w:val="005D76EE"/>
    <w:rsid w:val="005E5841"/>
    <w:rsid w:val="005F14E3"/>
    <w:rsid w:val="005F2F06"/>
    <w:rsid w:val="0061159C"/>
    <w:rsid w:val="00620D09"/>
    <w:rsid w:val="006265CE"/>
    <w:rsid w:val="0063738C"/>
    <w:rsid w:val="006446A0"/>
    <w:rsid w:val="00665432"/>
    <w:rsid w:val="006675C8"/>
    <w:rsid w:val="0068028C"/>
    <w:rsid w:val="00691BD4"/>
    <w:rsid w:val="00697309"/>
    <w:rsid w:val="006A3CC3"/>
    <w:rsid w:val="006C1FDF"/>
    <w:rsid w:val="006C5964"/>
    <w:rsid w:val="006D53DE"/>
    <w:rsid w:val="006F157F"/>
    <w:rsid w:val="006F22D6"/>
    <w:rsid w:val="006F3AD4"/>
    <w:rsid w:val="00735498"/>
    <w:rsid w:val="00746750"/>
    <w:rsid w:val="00792499"/>
    <w:rsid w:val="007A5BF8"/>
    <w:rsid w:val="007B55DB"/>
    <w:rsid w:val="008005D0"/>
    <w:rsid w:val="00803770"/>
    <w:rsid w:val="00820565"/>
    <w:rsid w:val="00840A24"/>
    <w:rsid w:val="00851FFB"/>
    <w:rsid w:val="0089272E"/>
    <w:rsid w:val="008A2189"/>
    <w:rsid w:val="008A2678"/>
    <w:rsid w:val="008C2B5A"/>
    <w:rsid w:val="008C42B9"/>
    <w:rsid w:val="008C68DD"/>
    <w:rsid w:val="008C7F1C"/>
    <w:rsid w:val="008E2287"/>
    <w:rsid w:val="008E457E"/>
    <w:rsid w:val="008E6EBD"/>
    <w:rsid w:val="009430B8"/>
    <w:rsid w:val="009438F5"/>
    <w:rsid w:val="009463FE"/>
    <w:rsid w:val="00956397"/>
    <w:rsid w:val="0095642F"/>
    <w:rsid w:val="00976927"/>
    <w:rsid w:val="009772BD"/>
    <w:rsid w:val="009A350D"/>
    <w:rsid w:val="009A6411"/>
    <w:rsid w:val="009E3721"/>
    <w:rsid w:val="00A0480B"/>
    <w:rsid w:val="00A12C93"/>
    <w:rsid w:val="00A27359"/>
    <w:rsid w:val="00A56173"/>
    <w:rsid w:val="00A82F66"/>
    <w:rsid w:val="00AA41D9"/>
    <w:rsid w:val="00AB558C"/>
    <w:rsid w:val="00AF0221"/>
    <w:rsid w:val="00AF448E"/>
    <w:rsid w:val="00AF7DA1"/>
    <w:rsid w:val="00B02C3E"/>
    <w:rsid w:val="00B57054"/>
    <w:rsid w:val="00B630DB"/>
    <w:rsid w:val="00B644EB"/>
    <w:rsid w:val="00B677C6"/>
    <w:rsid w:val="00B71F15"/>
    <w:rsid w:val="00B96A34"/>
    <w:rsid w:val="00BD0BE5"/>
    <w:rsid w:val="00C0179C"/>
    <w:rsid w:val="00C03713"/>
    <w:rsid w:val="00C1033A"/>
    <w:rsid w:val="00C12330"/>
    <w:rsid w:val="00C14423"/>
    <w:rsid w:val="00C20794"/>
    <w:rsid w:val="00C22D6A"/>
    <w:rsid w:val="00C26FA4"/>
    <w:rsid w:val="00C272DC"/>
    <w:rsid w:val="00C30C36"/>
    <w:rsid w:val="00C548A7"/>
    <w:rsid w:val="00C56AB4"/>
    <w:rsid w:val="00C86012"/>
    <w:rsid w:val="00C938F2"/>
    <w:rsid w:val="00C94C62"/>
    <w:rsid w:val="00CB07A4"/>
    <w:rsid w:val="00CB5EDE"/>
    <w:rsid w:val="00CB756F"/>
    <w:rsid w:val="00CF3546"/>
    <w:rsid w:val="00D23183"/>
    <w:rsid w:val="00D240FB"/>
    <w:rsid w:val="00D24D59"/>
    <w:rsid w:val="00D26D67"/>
    <w:rsid w:val="00D31017"/>
    <w:rsid w:val="00D325A8"/>
    <w:rsid w:val="00D50497"/>
    <w:rsid w:val="00D547D7"/>
    <w:rsid w:val="00D60BFD"/>
    <w:rsid w:val="00D7335B"/>
    <w:rsid w:val="00D7526D"/>
    <w:rsid w:val="00D81DA1"/>
    <w:rsid w:val="00DA1E55"/>
    <w:rsid w:val="00DA2DB2"/>
    <w:rsid w:val="00DD0FE3"/>
    <w:rsid w:val="00DF72AC"/>
    <w:rsid w:val="00E00CAD"/>
    <w:rsid w:val="00E06F3B"/>
    <w:rsid w:val="00E17E1E"/>
    <w:rsid w:val="00E50F26"/>
    <w:rsid w:val="00E514FB"/>
    <w:rsid w:val="00E663DC"/>
    <w:rsid w:val="00E67518"/>
    <w:rsid w:val="00E74FAD"/>
    <w:rsid w:val="00EC1CD2"/>
    <w:rsid w:val="00ED07D7"/>
    <w:rsid w:val="00EE0329"/>
    <w:rsid w:val="00EE324B"/>
    <w:rsid w:val="00F26970"/>
    <w:rsid w:val="00F464AB"/>
    <w:rsid w:val="00F52FF7"/>
    <w:rsid w:val="00F63235"/>
    <w:rsid w:val="00F73415"/>
    <w:rsid w:val="00F77636"/>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
    <w:name w:val="Unresolved Mention"/>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2019-11-15T07:22:00Z</dcterms:created>
  <dcterms:modified xsi:type="dcterms:W3CDTF">2023-02-01T13:18:00Z</dcterms:modified>
</cp:coreProperties>
</file>