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6" w:line="256" w:lineRule="auto"/>
        <w:rPr>
          <w:rFonts w:ascii="Times New Roman" w:hAnsi="Times New Roman"/>
          <w:noProof w:val="0"/>
          <w:color w:val="000000"/>
          <w:sz w:val="26"/>
          <w:lang w:eastAsia="ro-RO"/>
        </w:rPr>
      </w:pPr>
    </w:p>
    <w:p>
      <w:pPr>
        <w:spacing w:after="26" w:line="256" w:lineRule="auto"/>
        <w:rPr>
          <w:rFonts w:ascii="Times New Roman" w:hAnsi="Times New Roman"/>
          <w:noProof w:val="0"/>
          <w:color w:val="000000"/>
          <w:sz w:val="26"/>
          <w:lang w:eastAsia="ro-RO"/>
        </w:rPr>
      </w:pPr>
      <w:r>
        <w:rPr>
          <w:rFonts w:ascii="Times New Roman" w:hAnsi="Times New Roman"/>
          <w:noProof w:val="0"/>
          <w:color w:val="000000"/>
          <w:sz w:val="26"/>
          <w:lang w:eastAsia="ro-RO"/>
        </w:rPr>
        <w:t>Nr. 30/V/03.04.2020</w:t>
      </w:r>
      <w:bookmarkStart w:id="0" w:name="_GoBack"/>
      <w:bookmarkEnd w:id="0"/>
    </w:p>
    <w:p>
      <w:pPr>
        <w:keepNext/>
        <w:keepLines/>
        <w:spacing w:after="19" w:line="256" w:lineRule="auto"/>
        <w:ind w:left="705" w:hanging="10"/>
        <w:jc w:val="center"/>
        <w:outlineLvl w:val="0"/>
        <w:rPr>
          <w:rFonts w:ascii="Times New Roman" w:hAnsi="Times New Roman"/>
          <w:b/>
          <w:noProof w:val="0"/>
          <w:color w:val="000000"/>
          <w:sz w:val="26"/>
          <w:lang w:eastAsia="ro-RO"/>
        </w:rPr>
      </w:pPr>
    </w:p>
    <w:p>
      <w:pPr>
        <w:keepNext/>
        <w:keepLines/>
        <w:spacing w:after="19" w:line="256" w:lineRule="auto"/>
        <w:ind w:left="705" w:hanging="10"/>
        <w:jc w:val="center"/>
        <w:outlineLvl w:val="0"/>
        <w:rPr>
          <w:rFonts w:ascii="Times New Roman" w:hAnsi="Times New Roman"/>
          <w:b/>
          <w:noProof w:val="0"/>
          <w:color w:val="000000"/>
          <w:sz w:val="26"/>
          <w:lang w:eastAsia="ro-RO"/>
        </w:rPr>
      </w:pPr>
    </w:p>
    <w:p>
      <w:pPr>
        <w:keepNext/>
        <w:keepLines/>
        <w:spacing w:after="0" w:line="256" w:lineRule="auto"/>
        <w:ind w:left="705" w:hanging="10"/>
        <w:jc w:val="center"/>
        <w:outlineLvl w:val="0"/>
        <w:rPr>
          <w:rFonts w:ascii="Times New Roman" w:hAnsi="Times New Roman"/>
          <w:b/>
          <w:noProof w:val="0"/>
          <w:color w:val="000000"/>
          <w:sz w:val="24"/>
          <w:szCs w:val="24"/>
          <w:lang w:eastAsia="ro-RO"/>
        </w:rPr>
      </w:pPr>
      <w:r>
        <w:rPr>
          <w:rFonts w:ascii="Times New Roman" w:hAnsi="Times New Roman"/>
          <w:b/>
          <w:noProof w:val="0"/>
          <w:color w:val="000000"/>
          <w:sz w:val="24"/>
          <w:szCs w:val="24"/>
          <w:lang w:eastAsia="ro-RO"/>
        </w:rPr>
        <w:t xml:space="preserve">REFERAT DE APROBARE </w:t>
      </w:r>
    </w:p>
    <w:p>
      <w:pPr>
        <w:autoSpaceDE w:val="0"/>
        <w:autoSpaceDN w:val="0"/>
        <w:adjustRightInd w:val="0"/>
        <w:spacing w:after="0"/>
        <w:jc w:val="center"/>
        <w:rPr>
          <w:rFonts w:ascii="Times New Roman" w:hAnsi="Times New Roman"/>
          <w:b/>
          <w:i/>
          <w:noProof w:val="0"/>
          <w:color w:val="000000"/>
          <w:sz w:val="24"/>
          <w:szCs w:val="24"/>
          <w:lang w:eastAsia="ro-RO"/>
        </w:rPr>
      </w:pPr>
      <w:r>
        <w:rPr>
          <w:rFonts w:ascii="Times New Roman" w:hAnsi="Times New Roman"/>
          <w:b/>
          <w:i/>
          <w:noProof w:val="0"/>
          <w:color w:val="000000"/>
          <w:sz w:val="24"/>
          <w:szCs w:val="24"/>
          <w:lang w:eastAsia="ro-RO"/>
        </w:rPr>
        <w:t xml:space="preserve">a  </w:t>
      </w:r>
    </w:p>
    <w:p>
      <w:pPr>
        <w:jc w:val="center"/>
        <w:rPr>
          <w:rFonts w:ascii="Times New Roman" w:eastAsia="Calibri" w:hAnsi="Times New Roman"/>
          <w:b/>
          <w:i/>
          <w:sz w:val="24"/>
          <w:szCs w:val="24"/>
        </w:rPr>
      </w:pPr>
      <w:r>
        <w:rPr>
          <w:rFonts w:ascii="Times New Roman" w:eastAsia="Calibri" w:hAnsi="Times New Roman"/>
          <w:b/>
          <w:i/>
          <w:sz w:val="24"/>
          <w:szCs w:val="24"/>
        </w:rPr>
        <w:t>Ghidului  de finanțare a Programului privind sprijinirea eficienței energetice și a gestionării inteligente a energiei în infrastructura de iluminat public</w:t>
      </w:r>
    </w:p>
    <w:p>
      <w:pPr>
        <w:spacing w:after="17" w:line="256" w:lineRule="auto"/>
        <w:ind w:right="420"/>
        <w:rPr>
          <w:rFonts w:ascii="Times New Roman" w:hAnsi="Times New Roman"/>
          <w:noProof w:val="0"/>
          <w:color w:val="000000"/>
          <w:sz w:val="24"/>
          <w:szCs w:val="24"/>
          <w:lang w:eastAsia="ro-RO"/>
        </w:rPr>
      </w:pPr>
    </w:p>
    <w:p>
      <w:pPr>
        <w:autoSpaceDE w:val="0"/>
        <w:autoSpaceDN w:val="0"/>
        <w:adjustRightInd w:val="0"/>
        <w:spacing w:after="0"/>
        <w:ind w:firstLine="710"/>
        <w:jc w:val="both"/>
        <w:rPr>
          <w:rFonts w:ascii="Times New Roman" w:hAnsi="Times New Roman"/>
          <w:bCs/>
          <w:i/>
          <w:noProof w:val="0"/>
          <w:sz w:val="24"/>
          <w:szCs w:val="24"/>
          <w:lang w:eastAsia="ro-RO"/>
        </w:rPr>
      </w:pPr>
      <w:r>
        <w:rPr>
          <w:rFonts w:ascii="Times New Roman" w:hAnsi="Times New Roman"/>
          <w:noProof w:val="0"/>
          <w:sz w:val="24"/>
          <w:szCs w:val="24"/>
          <w:lang w:eastAsia="ro-RO"/>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w:t>
      </w:r>
      <w:r>
        <w:rPr>
          <w:rFonts w:ascii="Times New Roman" w:hAnsi="Times New Roman"/>
          <w:i/>
          <w:noProof w:val="0"/>
          <w:sz w:val="24"/>
          <w:szCs w:val="24"/>
          <w:lang w:eastAsia="ro-RO"/>
        </w:rPr>
        <w:t>instrumentul de prezentare și motivare a proiectului de Ordin pentru aprobarea Ghidului de finanțare a Programului privind sprijinirea eficienței energetice și a gestionării inteligente a energiei în infrastructura de iluminat public.</w:t>
      </w:r>
    </w:p>
    <w:p>
      <w:pPr>
        <w:autoSpaceDE w:val="0"/>
        <w:autoSpaceDN w:val="0"/>
        <w:adjustRightInd w:val="0"/>
        <w:spacing w:after="0"/>
        <w:ind w:firstLine="710"/>
        <w:jc w:val="both"/>
        <w:rPr>
          <w:rFonts w:ascii="Times New Roman" w:hAnsi="Times New Roman"/>
          <w:bCs/>
          <w:i/>
          <w:noProof w:val="0"/>
          <w:sz w:val="24"/>
          <w:szCs w:val="24"/>
          <w:lang w:eastAsia="ro-RO"/>
        </w:rPr>
      </w:pPr>
    </w:p>
    <w:p>
      <w:pPr>
        <w:shd w:val="clear" w:color="auto" w:fill="FFFFFF"/>
        <w:ind w:firstLine="708"/>
        <w:jc w:val="both"/>
        <w:rPr>
          <w:rFonts w:ascii="Times New Roman" w:hAnsi="Times New Roman"/>
          <w:noProof w:val="0"/>
          <w:sz w:val="24"/>
          <w:szCs w:val="24"/>
          <w:lang w:eastAsia="ro-RO"/>
        </w:rPr>
      </w:pPr>
      <w:r>
        <w:rPr>
          <w:rFonts w:ascii="Times New Roman" w:hAnsi="Times New Roman"/>
          <w:b/>
          <w:noProof w:val="0"/>
          <w:sz w:val="24"/>
          <w:szCs w:val="24"/>
          <w:lang w:eastAsia="ro-RO"/>
        </w:rPr>
        <w:t>Baza legală a proiectului de ordin supus aprobării</w:t>
      </w:r>
      <w:r>
        <w:rPr>
          <w:rFonts w:ascii="Times New Roman" w:hAnsi="Times New Roman"/>
          <w:noProof w:val="0"/>
          <w:sz w:val="24"/>
          <w:szCs w:val="24"/>
          <w:lang w:eastAsia="ro-RO"/>
        </w:rPr>
        <w:t xml:space="preserve"> o constituie prevederile art. 12 alin. (4) din Ordonanța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 Potrivit art. 12 alin. (4) din actul normativ menționat, ”</w:t>
      </w:r>
      <w:r>
        <w:rPr>
          <w:rFonts w:ascii="Times New Roman" w:hAnsi="Times New Roman"/>
          <w:i/>
          <w:noProof w:val="0"/>
          <w:sz w:val="24"/>
          <w:szCs w:val="24"/>
          <w:lang w:eastAsia="ro-RO"/>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shd w:val="clear" w:color="auto" w:fill="FFFFFF"/>
          <w:lang w:eastAsia="ro-RO"/>
        </w:rPr>
        <w:t xml:space="preserve">Ghidul de finanţare constituie un suport informativ, având rolul de a furniza informaţii esenţiale cu privire la derularea </w:t>
      </w:r>
      <w:r>
        <w:rPr>
          <w:rFonts w:ascii="Times New Roman" w:hAnsi="Times New Roman"/>
          <w:b/>
          <w:noProof w:val="0"/>
          <w:sz w:val="24"/>
          <w:szCs w:val="24"/>
          <w:shd w:val="clear" w:color="auto" w:fill="FFFFFF"/>
          <w:lang w:eastAsia="ro-RO"/>
        </w:rPr>
        <w:t>Programului privind sprijinirea eficienței energetice și a gestionării inteligente a energiei în infrastructura de iluminat public</w:t>
      </w:r>
      <w:r>
        <w:rPr>
          <w:rFonts w:ascii="Times New Roman" w:hAnsi="Times New Roman"/>
          <w:noProof w:val="0"/>
          <w:sz w:val="24"/>
          <w:szCs w:val="24"/>
          <w:shd w:val="clear" w:color="auto" w:fill="FFFFFF"/>
          <w:lang w:eastAsia="ro-RO"/>
        </w:rPr>
        <w:t xml:space="preserve">. </w:t>
      </w:r>
      <w:r>
        <w:rPr>
          <w:rFonts w:ascii="Times New Roman" w:hAnsi="Times New Roman"/>
          <w:noProof w:val="0"/>
          <w:sz w:val="24"/>
          <w:szCs w:val="24"/>
          <w:lang w:eastAsia="ro-RO"/>
        </w:rPr>
        <w:t xml:space="preserve">Ghidul conţine dispoziţii privind </w:t>
      </w:r>
      <w:r>
        <w:rPr>
          <w:rFonts w:ascii="Times New Roman" w:hAnsi="Times New Roman"/>
          <w:b/>
          <w:bCs/>
          <w:noProof w:val="0"/>
          <w:vanish/>
          <w:sz w:val="24"/>
          <w:szCs w:val="24"/>
          <w:lang w:eastAsia="ro-RO"/>
        </w:rPr>
        <w:t xml:space="preserve">a) </w:t>
      </w:r>
      <w:r>
        <w:rPr>
          <w:rFonts w:ascii="Times New Roman" w:hAnsi="Times New Roman"/>
          <w:noProof w:val="0"/>
          <w:sz w:val="24"/>
          <w:szCs w:val="24"/>
          <w:lang w:eastAsia="ro-RO"/>
        </w:rPr>
        <w:t xml:space="preserve">scopul, obiectivul şi indicatorii de performanţă ai Programului, </w:t>
      </w:r>
      <w:r>
        <w:rPr>
          <w:rFonts w:ascii="Times New Roman" w:hAnsi="Times New Roman"/>
          <w:b/>
          <w:bCs/>
          <w:noProof w:val="0"/>
          <w:vanish/>
          <w:sz w:val="24"/>
          <w:szCs w:val="24"/>
          <w:lang w:eastAsia="ro-RO"/>
        </w:rPr>
        <w:t xml:space="preserve">b) </w:t>
      </w:r>
      <w:r>
        <w:rPr>
          <w:rFonts w:ascii="Times New Roman" w:hAnsi="Times New Roman"/>
          <w:noProof w:val="0"/>
          <w:sz w:val="24"/>
          <w:szCs w:val="24"/>
          <w:lang w:eastAsia="ro-RO"/>
        </w:rPr>
        <w:t xml:space="preserve">eligibilitatea solicitantului, a finanţării, a proiectului propus şi a cheltuielilor acestuia, dar și </w:t>
      </w:r>
      <w:r>
        <w:rPr>
          <w:rFonts w:ascii="Times New Roman" w:hAnsi="Times New Roman"/>
          <w:b/>
          <w:bCs/>
          <w:noProof w:val="0"/>
          <w:vanish/>
          <w:sz w:val="24"/>
          <w:szCs w:val="24"/>
          <w:lang w:eastAsia="ro-RO"/>
        </w:rPr>
        <w:t xml:space="preserve">c) </w:t>
      </w:r>
      <w:r>
        <w:rPr>
          <w:rFonts w:ascii="Times New Roman" w:hAnsi="Times New Roman"/>
          <w:noProof w:val="0"/>
          <w:sz w:val="24"/>
          <w:szCs w:val="24"/>
          <w:lang w:eastAsia="ro-RO"/>
        </w:rPr>
        <w:t>condiţiile şi termenele de analiză, evaluare, selectare, aprobare, implementare şi decontare a proiectului propus.</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b/>
          <w:bCs/>
          <w:noProof w:val="0"/>
          <w:vanish/>
          <w:sz w:val="24"/>
          <w:szCs w:val="24"/>
          <w:lang w:eastAsia="ro-RO"/>
        </w:rPr>
        <w:t xml:space="preserve"> (1)</w:t>
      </w:r>
      <w:r>
        <w:rPr>
          <w:rFonts w:ascii="Times New Roman" w:hAnsi="Times New Roman"/>
          <w:noProof w:val="0"/>
          <w:sz w:val="24"/>
          <w:szCs w:val="24"/>
          <w:lang w:eastAsia="ro-RO"/>
        </w:rPr>
        <w:t xml:space="preserve"> Obiectivul Programului îl reprezintă creșterea eficienței energetice a sistemelor de iluminat public, s</w:t>
      </w:r>
      <w:r>
        <w:rPr>
          <w:rFonts w:ascii="Times New Roman" w:hAnsi="Times New Roman"/>
          <w:noProof w:val="0"/>
          <w:vanish/>
          <w:sz w:val="24"/>
          <w:szCs w:val="24"/>
          <w:lang w:eastAsia="ro-RO"/>
        </w:rPr>
        <w:t xml:space="preserve"> </w:t>
      </w:r>
      <w:r>
        <w:rPr>
          <w:rFonts w:ascii="Times New Roman" w:hAnsi="Times New Roman"/>
          <w:b/>
          <w:bCs/>
          <w:noProof w:val="0"/>
          <w:vanish/>
          <w:sz w:val="24"/>
          <w:szCs w:val="24"/>
          <w:lang w:eastAsia="ro-RO"/>
        </w:rPr>
        <w:t>(2)</w:t>
      </w:r>
      <w:r>
        <w:rPr>
          <w:rFonts w:ascii="Times New Roman" w:hAnsi="Times New Roman"/>
          <w:noProof w:val="0"/>
          <w:sz w:val="24"/>
          <w:szCs w:val="24"/>
          <w:lang w:eastAsia="ro-RO"/>
        </w:rPr>
        <w:t>copul fiind reprezentat de îmbunătăţirea calităţii mediului prin reducerea emisiilor de gaze cu efect de seră prin utilizarea unor corpuri de iluminat LED cu eficiență energetică ridicată.</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b/>
          <w:bCs/>
          <w:noProof w:val="0"/>
          <w:vanish/>
          <w:sz w:val="24"/>
          <w:szCs w:val="24"/>
          <w:lang w:eastAsia="ro-RO"/>
        </w:rPr>
        <w:t xml:space="preserve"> (3)</w:t>
      </w:r>
      <w:r>
        <w:rPr>
          <w:rFonts w:ascii="Times New Roman" w:hAnsi="Times New Roman"/>
          <w:noProof w:val="0"/>
          <w:sz w:val="24"/>
          <w:szCs w:val="24"/>
          <w:lang w:eastAsia="ro-RO"/>
        </w:rPr>
        <w:t xml:space="preserve"> Programul vizează modernizarea sistemelor de iluminat public prin înlocuirea corpurilor de iluminat având un consum ridicat de energie electrică cu corpuri de iluminat LED, precum şi achiziţionarea şi instalarea sistemelor de dimare/telegestiune care permit reglarea fluxului luminos la nivelul întregului obiect de investiţii. </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 xml:space="preserve">Finanţarea Programului se realizează din veniturile rezultate din vânzarea certificatelor de emisii de gaze cu efect de seră încasate la Fondul pentru mediu, în limita creditelor de angajament şi </w:t>
      </w:r>
      <w:r>
        <w:rPr>
          <w:rFonts w:ascii="Times New Roman" w:hAnsi="Times New Roman"/>
          <w:noProof w:val="0"/>
          <w:sz w:val="24"/>
          <w:szCs w:val="24"/>
          <w:lang w:eastAsia="ro-RO"/>
        </w:rPr>
        <w:lastRenderedPageBreak/>
        <w:t>bugetare prevăzute cu această destinaţie prin bugetul anual al Fondului pentru mediu, aprobat conform legii.</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Sunt eligibile pentru a participa în cadrul Programului unităţile administrativ-teritoriale, organizate la nivel de comună, oraș sau municipiu.</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Potrivit Ghidului de finanțare, sunt considerate eligibile următoarele:</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bCs/>
          <w:noProof w:val="0"/>
          <w:sz w:val="24"/>
          <w:szCs w:val="24"/>
          <w:lang w:eastAsia="ro-RO"/>
        </w:rPr>
        <w:t>a)</w:t>
      </w:r>
      <w:r>
        <w:rPr>
          <w:rFonts w:ascii="Times New Roman" w:hAnsi="Times New Roman"/>
          <w:noProof w:val="0"/>
          <w:sz w:val="24"/>
          <w:szCs w:val="24"/>
          <w:lang w:eastAsia="ro-RO"/>
        </w:rPr>
        <w:t xml:space="preserve"> cheltuieli pentru proiectare şi asistenţă tehnică sunt eligibile cumulat, în limita a </w:t>
      </w:r>
      <w:r>
        <w:rPr>
          <w:rFonts w:ascii="Times New Roman" w:hAnsi="Times New Roman"/>
          <w:bCs/>
          <w:noProof w:val="0"/>
          <w:sz w:val="24"/>
          <w:szCs w:val="24"/>
          <w:lang w:eastAsia="ro-RO"/>
        </w:rPr>
        <w:t>5%</w:t>
      </w:r>
      <w:r>
        <w:rPr>
          <w:rFonts w:ascii="Times New Roman" w:hAnsi="Times New Roman"/>
          <w:noProof w:val="0"/>
          <w:sz w:val="24"/>
          <w:szCs w:val="24"/>
          <w:lang w:eastAsia="ro-RO"/>
        </w:rPr>
        <w:t xml:space="preserve"> din valoarea cheltuielilor eligibile </w:t>
      </w:r>
      <w:bookmarkStart w:id="1" w:name="_Hlk35516439"/>
      <w:r>
        <w:rPr>
          <w:rFonts w:ascii="Times New Roman" w:hAnsi="Times New Roman"/>
          <w:noProof w:val="0"/>
          <w:sz w:val="24"/>
          <w:szCs w:val="24"/>
          <w:lang w:eastAsia="ro-RO"/>
        </w:rPr>
        <w:t xml:space="preserve">aferente investiției de bază. </w:t>
      </w:r>
    </w:p>
    <w:bookmarkEnd w:id="1"/>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 xml:space="preserve">b) cheltuieli cu consultanța sunt eligibile în limita a 4% din valoarea cheltuielilor eligibile aferente investiției de bază. </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bCs/>
          <w:noProof w:val="0"/>
          <w:sz w:val="24"/>
          <w:szCs w:val="24"/>
          <w:lang w:eastAsia="ro-RO"/>
        </w:rPr>
        <w:t>c)</w:t>
      </w:r>
      <w:r>
        <w:rPr>
          <w:rFonts w:ascii="Times New Roman" w:hAnsi="Times New Roman"/>
          <w:noProof w:val="0"/>
          <w:sz w:val="24"/>
          <w:szCs w:val="24"/>
          <w:lang w:eastAsia="ro-RO"/>
        </w:rPr>
        <w:t xml:space="preserve"> cheltuielile pentru investiţia de bază: achiziţionarea și instalarea corpurilor de iluminat LED cu eficiență energetică ridicată; achiziționarea și instalarea sistemului de dimare/telegestiune  care permite reglarea fluxului luminos la nivelul întregului obiect de investiție</w:t>
      </w:r>
      <w:r>
        <w:rPr>
          <w:rFonts w:ascii="Times New Roman" w:hAnsi="Times New Roman"/>
          <w:noProof w:val="0"/>
          <w:sz w:val="24"/>
          <w:szCs w:val="24"/>
          <w:lang w:val="en-US" w:eastAsia="ro-RO"/>
        </w:rPr>
        <w:t>;</w:t>
      </w:r>
    </w:p>
    <w:p>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bCs/>
          <w:noProof w:val="0"/>
          <w:sz w:val="24"/>
          <w:szCs w:val="24"/>
          <w:lang w:val="en-US" w:eastAsia="ro-RO"/>
        </w:rPr>
        <w:t>d)</w:t>
      </w:r>
      <w:r>
        <w:rPr>
          <w:rFonts w:ascii="Times New Roman" w:hAnsi="Times New Roman"/>
          <w:noProof w:val="0"/>
          <w:sz w:val="24"/>
          <w:szCs w:val="24"/>
          <w:lang w:val="en-US" w:eastAsia="ro-RO"/>
        </w:rPr>
        <w:t xml:space="preserve"> taxa pe valoarea adăugată aferentă proiectului în condiţiile în care aceasta a fost solicitată şi nu este recuperabilă, rambursabilă sau compensată prin orice alte mijloace potrivit prevederilor legale</w:t>
      </w:r>
      <w:r>
        <w:rPr>
          <w:rFonts w:ascii="Times New Roman" w:hAnsi="Times New Roman"/>
          <w:noProof w:val="0"/>
          <w:sz w:val="24"/>
          <w:szCs w:val="24"/>
          <w:lang w:eastAsia="ro-RO"/>
        </w:rPr>
        <w:t xml:space="preserve"> .</w:t>
      </w:r>
    </w:p>
    <w:p>
      <w:pPr>
        <w:shd w:val="clear" w:color="auto" w:fill="FFFFFF"/>
        <w:spacing w:after="0"/>
        <w:ind w:firstLine="708"/>
        <w:jc w:val="both"/>
        <w:rPr>
          <w:rFonts w:ascii="Times New Roman" w:hAnsi="Times New Roman"/>
          <w:noProof w:val="0"/>
          <w:sz w:val="24"/>
          <w:szCs w:val="24"/>
          <w:lang w:eastAsia="ro-RO"/>
        </w:rPr>
      </w:pPr>
    </w:p>
    <w:p>
      <w:pPr>
        <w:spacing w:after="0"/>
        <w:ind w:firstLine="708"/>
        <w:jc w:val="both"/>
        <w:rPr>
          <w:rFonts w:ascii="Times New Roman" w:hAnsi="Times New Roman"/>
          <w:bCs/>
          <w:noProof w:val="0"/>
          <w:sz w:val="24"/>
          <w:szCs w:val="24"/>
          <w:lang w:val="en-US" w:eastAsia="ro-RO"/>
        </w:rPr>
      </w:pPr>
      <w:r>
        <w:rPr>
          <w:rFonts w:ascii="Times New Roman" w:hAnsi="Times New Roman"/>
          <w:bCs/>
          <w:noProof w:val="0"/>
          <w:sz w:val="24"/>
          <w:szCs w:val="24"/>
          <w:lang w:eastAsia="ro-RO"/>
        </w:rPr>
        <w:t xml:space="preserve">Pentru motivele invocate, </w:t>
      </w:r>
      <w:r>
        <w:rPr>
          <w:rFonts w:ascii="Times New Roman" w:hAnsi="Times New Roman"/>
          <w:noProof w:val="0"/>
          <w:sz w:val="24"/>
          <w:szCs w:val="24"/>
          <w:lang w:eastAsia="ro-RO"/>
        </w:rPr>
        <w:t>ținând seama de importanța și scopul acestui program,</w:t>
      </w:r>
      <w:r>
        <w:rPr>
          <w:rFonts w:ascii="Times New Roman" w:hAnsi="Times New Roman"/>
          <w:b/>
          <w:bCs/>
          <w:i/>
          <w:noProof w:val="0"/>
          <w:sz w:val="24"/>
          <w:szCs w:val="24"/>
          <w:lang w:eastAsia="ro-RO"/>
        </w:rPr>
        <w:t xml:space="preserve"> </w:t>
      </w:r>
      <w:r>
        <w:rPr>
          <w:rFonts w:ascii="Times New Roman" w:hAnsi="Times New Roman"/>
          <w:bCs/>
          <w:noProof w:val="0"/>
          <w:sz w:val="24"/>
          <w:szCs w:val="24"/>
          <w:lang w:eastAsia="ro-RO"/>
        </w:rPr>
        <w:t xml:space="preserve">vă rugăm să aprobați emiterea </w:t>
      </w:r>
      <w:r>
        <w:rPr>
          <w:rFonts w:ascii="Times New Roman" w:hAnsi="Times New Roman"/>
          <w:b/>
          <w:bCs/>
          <w:i/>
          <w:noProof w:val="0"/>
          <w:sz w:val="24"/>
          <w:szCs w:val="24"/>
          <w:lang w:eastAsia="ro-RO"/>
        </w:rPr>
        <w:t>Ordinului</w:t>
      </w:r>
      <w:r>
        <w:rPr>
          <w:rFonts w:ascii="Times New Roman" w:hAnsi="Times New Roman"/>
          <w:b/>
          <w:bCs/>
          <w:noProof w:val="0"/>
          <w:sz w:val="24"/>
          <w:szCs w:val="24"/>
          <w:lang w:eastAsia="ro-RO"/>
        </w:rPr>
        <w:t xml:space="preserve"> </w:t>
      </w:r>
      <w:r>
        <w:rPr>
          <w:rFonts w:ascii="Times New Roman" w:hAnsi="Times New Roman"/>
          <w:b/>
          <w:bCs/>
          <w:i/>
          <w:noProof w:val="0"/>
          <w:sz w:val="24"/>
          <w:szCs w:val="24"/>
          <w:lang w:eastAsia="ro-RO"/>
        </w:rPr>
        <w:t xml:space="preserve">pentru </w:t>
      </w:r>
      <w:r>
        <w:rPr>
          <w:rFonts w:ascii="Times New Roman" w:hAnsi="Times New Roman"/>
          <w:b/>
          <w:i/>
          <w:noProof w:val="0"/>
          <w:sz w:val="24"/>
          <w:szCs w:val="24"/>
          <w:lang w:eastAsia="ro-RO"/>
        </w:rPr>
        <w:t xml:space="preserve">aprobarea Ghidului de finanțare a Programului privind sprijinirea eficienței energetice și a gestionării inteligente a energiei în infrastructura de iluminat public, </w:t>
      </w:r>
      <w:r>
        <w:rPr>
          <w:rFonts w:ascii="Times New Roman" w:hAnsi="Times New Roman"/>
          <w:noProof w:val="0"/>
          <w:sz w:val="24"/>
          <w:szCs w:val="24"/>
          <w:lang w:eastAsia="ro-RO"/>
        </w:rPr>
        <w:t>în forma prezentată.</w:t>
      </w:r>
    </w:p>
    <w:p>
      <w:pPr>
        <w:spacing w:after="0"/>
        <w:jc w:val="both"/>
        <w:rPr>
          <w:rFonts w:ascii="Times New Roman" w:eastAsia="Calibri" w:hAnsi="Times New Roman"/>
          <w:sz w:val="24"/>
          <w:szCs w:val="24"/>
        </w:rPr>
      </w:pPr>
    </w:p>
    <w:p>
      <w:pPr>
        <w:spacing w:after="0"/>
        <w:jc w:val="both"/>
        <w:rPr>
          <w:rFonts w:ascii="Times New Roman" w:eastAsia="Calibri" w:hAnsi="Times New Roman"/>
          <w:sz w:val="24"/>
          <w:szCs w:val="24"/>
        </w:rPr>
      </w:pPr>
    </w:p>
    <w:p>
      <w:pPr>
        <w:tabs>
          <w:tab w:val="left" w:pos="915"/>
        </w:tabs>
        <w:spacing w:after="0" w:line="360" w:lineRule="auto"/>
        <w:jc w:val="center"/>
        <w:rPr>
          <w:rFonts w:ascii="Times New Roman" w:eastAsia="Calibri" w:hAnsi="Times New Roman"/>
          <w:sz w:val="24"/>
          <w:szCs w:val="24"/>
        </w:rPr>
      </w:pPr>
      <w:r>
        <w:rPr>
          <w:rFonts w:ascii="Times New Roman" w:eastAsia="Calibri" w:hAnsi="Times New Roman"/>
          <w:b/>
          <w:sz w:val="24"/>
          <w:szCs w:val="24"/>
          <w:lang w:val="en-US"/>
        </w:rPr>
        <w:t>VICEPREȘEDINTE,</w:t>
      </w:r>
    </w:p>
    <w:p>
      <w:pPr>
        <w:tabs>
          <w:tab w:val="left" w:pos="720"/>
          <w:tab w:val="left" w:pos="1005"/>
          <w:tab w:val="center" w:pos="5032"/>
        </w:tabs>
        <w:spacing w:after="0" w:line="36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Ion VASILE</w:t>
      </w:r>
    </w:p>
    <w:p>
      <w:pPr>
        <w:spacing w:after="0"/>
        <w:rPr>
          <w:rFonts w:ascii="Times New Roman" w:eastAsia="Calibri" w:hAnsi="Times New Roman"/>
          <w:lang w:val="en-US"/>
        </w:rPr>
      </w:pPr>
      <w:r>
        <w:rPr>
          <w:rFonts w:ascii="Times New Roman" w:eastAsia="Calibri" w:hAnsi="Times New Roman"/>
          <w:lang w:val="en-US"/>
        </w:rPr>
        <w:t xml:space="preserve">  </w:t>
      </w:r>
    </w:p>
    <w:p>
      <w:pPr>
        <w:spacing w:after="0"/>
        <w:rPr>
          <w:rFonts w:ascii="Times New Roman" w:eastAsia="Calibri" w:hAnsi="Times New Roman"/>
          <w:lang w:val="en-US"/>
        </w:rPr>
      </w:pPr>
    </w:p>
    <w:p>
      <w:pPr>
        <w:spacing w:after="0"/>
        <w:rPr>
          <w:rFonts w:ascii="Times New Roman" w:eastAsia="Calibri" w:hAnsi="Times New Roman"/>
          <w:lang w:val="en-US"/>
        </w:rPr>
      </w:pPr>
    </w:p>
    <w:p>
      <w:pPr>
        <w:spacing w:after="0"/>
        <w:rPr>
          <w:rFonts w:ascii="Times New Roman" w:eastAsia="Calibri" w:hAnsi="Times New Roman"/>
          <w:color w:val="FFFFFF" w:themeColor="background1"/>
          <w:lang w:val="en-US"/>
        </w:rPr>
      </w:pPr>
      <w:r>
        <w:rPr>
          <w:rFonts w:ascii="Times New Roman" w:eastAsia="Calibri" w:hAnsi="Times New Roman"/>
          <w:color w:val="FFFFFF" w:themeColor="background1"/>
          <w:lang w:val="en-US"/>
        </w:rPr>
        <w:t xml:space="preserve">Director Direcția Juridică, </w:t>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p>
    <w:p>
      <w:pPr>
        <w:spacing w:after="0"/>
        <w:rPr>
          <w:rFonts w:ascii="Times New Roman" w:eastAsia="Calibri" w:hAnsi="Times New Roman"/>
          <w:color w:val="FFFFFF" w:themeColor="background1"/>
          <w:lang w:val="en-US"/>
        </w:rPr>
      </w:pPr>
      <w:r>
        <w:rPr>
          <w:rFonts w:ascii="Times New Roman" w:eastAsia="Calibri" w:hAnsi="Times New Roman"/>
          <w:color w:val="FFFFFF" w:themeColor="background1"/>
          <w:lang w:val="en-US"/>
        </w:rPr>
        <w:t>Emilia Pavel</w:t>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r>
        <w:rPr>
          <w:rFonts w:ascii="Times New Roman" w:eastAsia="Calibri" w:hAnsi="Times New Roman"/>
          <w:color w:val="FFFFFF" w:themeColor="background1"/>
          <w:lang w:val="en-US"/>
        </w:rPr>
        <w:tab/>
      </w:r>
    </w:p>
    <w:p>
      <w:pPr>
        <w:rPr>
          <w:rFonts w:ascii="Times New Roman" w:eastAsia="Calibri" w:hAnsi="Times New Roman"/>
          <w:color w:val="FFFFFF" w:themeColor="background1"/>
          <w:lang w:val="en-US"/>
        </w:rPr>
      </w:pPr>
    </w:p>
    <w:p>
      <w:pPr>
        <w:rPr>
          <w:rFonts w:ascii="Times New Roman" w:eastAsia="Calibri" w:hAnsi="Times New Roman"/>
          <w:color w:val="FFFFFF" w:themeColor="background1"/>
          <w:lang w:val="en-US"/>
        </w:rPr>
      </w:pPr>
    </w:p>
    <w:p>
      <w:pPr>
        <w:spacing w:after="0"/>
        <w:rPr>
          <w:rFonts w:ascii="Times New Roman" w:eastAsia="Calibri" w:hAnsi="Times New Roman"/>
          <w:color w:val="FFFFFF" w:themeColor="background1"/>
          <w:lang w:val="en-US"/>
        </w:rPr>
      </w:pPr>
      <w:r>
        <w:rPr>
          <w:rFonts w:ascii="Times New Roman" w:eastAsia="Calibri" w:hAnsi="Times New Roman"/>
          <w:color w:val="FFFFFF" w:themeColor="background1"/>
          <w:lang w:val="en-US"/>
        </w:rPr>
        <w:t xml:space="preserve">Șef serviciu Analiză și Avizare DJ, </w:t>
      </w:r>
    </w:p>
    <w:p>
      <w:pPr>
        <w:spacing w:after="0"/>
        <w:rPr>
          <w:color w:val="FFFFFF" w:themeColor="background1"/>
          <w:lang w:val="en-US"/>
        </w:rPr>
      </w:pPr>
      <w:r>
        <w:rPr>
          <w:rFonts w:ascii="Times New Roman" w:eastAsia="Calibri" w:hAnsi="Times New Roman"/>
          <w:color w:val="FFFFFF" w:themeColor="background1"/>
          <w:lang w:val="en-US"/>
        </w:rPr>
        <w:t>Andreea Coman</w:t>
      </w:r>
    </w:p>
    <w:p>
      <w:pPr>
        <w:spacing w:line="360" w:lineRule="auto"/>
        <w:contextualSpacing/>
        <w:jc w:val="center"/>
        <w:outlineLvl w:val="0"/>
        <w:rPr>
          <w:rFonts w:ascii="Times New Roman" w:hAnsi="Times New Roman"/>
          <w:b/>
          <w:sz w:val="24"/>
          <w:szCs w:val="28"/>
          <w:lang w:eastAsia="ro-RO"/>
        </w:rPr>
      </w:pPr>
    </w:p>
    <w:sectPr>
      <w:headerReference w:type="even" r:id="rId7"/>
      <w:headerReference w:type="default" r:id="rId8"/>
      <w:footerReference w:type="even" r:id="rId9"/>
      <w:footerReference w:type="default" r:id="rId10"/>
      <w:headerReference w:type="first" r:id="rId11"/>
      <w:footerReference w:type="first" r:id="rId12"/>
      <w:pgSz w:w="11906" w:h="16838"/>
      <w:pgMar w:top="1953" w:right="851" w:bottom="1418"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pPr>
      <w:pStyle w:val="Footer"/>
    </w:pP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left="-851"/>
    </w:pPr>
    <w:r>
      <w:rPr>
        <w:rFonts w:ascii="Times New Roman" w:hAnsi="Times New Roman"/>
        <w:b/>
        <w:noProof/>
        <w:sz w:val="28"/>
        <w:szCs w:val="28"/>
        <w:lang w:eastAsia="ro-RO"/>
      </w:rPr>
      <w:drawing>
        <wp:anchor distT="0" distB="0" distL="114300" distR="114300" simplePos="0" relativeHeight="251664384" behindDoc="1" locked="0" layoutInCell="1" allowOverlap="1">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pPr>
      <w:pStyle w:val="Header"/>
      <w:ind w:left="-851"/>
    </w:pPr>
    <w:r>
      <w:rPr>
        <w:rFonts w:ascii="Trajan Pro" w:hAnsi="Trajan Pro" w:cs="Times New Roman"/>
        <w:sz w:val="20"/>
        <w:szCs w:val="20"/>
      </w:rPr>
      <w:t xml:space="preserve">                                    MINISTERUL MEDIULUI, APELOR ȘI PĂDURILOR</w:t>
    </w:r>
  </w:p>
  <w:p>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pPr>
      <w:pStyle w:val="Header"/>
    </w:pPr>
    <w:r>
      <w:rPr>
        <w:noProof/>
        <w:lang w:eastAsia="ro-RO"/>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CCCB6-BACF-4ED1-B75B-6BEE3E90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6F08-7D0E-4829-B1F6-422CF42F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668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Mihail-Dan DOJANA</cp:lastModifiedBy>
  <cp:revision>114</cp:revision>
  <cp:lastPrinted>2020-02-11T12:00:00Z</cp:lastPrinted>
  <dcterms:created xsi:type="dcterms:W3CDTF">2019-11-21T09:44:00Z</dcterms:created>
  <dcterms:modified xsi:type="dcterms:W3CDTF">2020-04-03T15:13:00Z</dcterms:modified>
</cp:coreProperties>
</file>