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E6" w:rsidRPr="007F7FE2" w:rsidRDefault="00B040E6" w:rsidP="00B040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 w:eastAsia="ro-RO"/>
        </w:rPr>
        <w:t xml:space="preserve">                  </w:t>
      </w:r>
      <w:r w:rsidRPr="007F7FE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 w:eastAsia="ro-RO"/>
        </w:rPr>
        <w:t xml:space="preserve">MINISTERUL MEDIULUI, APELOR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 w:eastAsia="ro-RO"/>
        </w:rPr>
        <w:t>Ș</w:t>
      </w:r>
      <w:r w:rsidRPr="007F7FE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 w:eastAsia="ro-RO"/>
        </w:rPr>
        <w:t>I P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 w:eastAsia="ro-RO"/>
        </w:rPr>
        <w:t>Ă</w:t>
      </w:r>
      <w:r w:rsidRPr="007F7FE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 w:eastAsia="ro-RO"/>
        </w:rPr>
        <w:t>DURILOR</w:t>
      </w:r>
    </w:p>
    <w:p w:rsidR="00B040E6" w:rsidRPr="007F7FE2" w:rsidRDefault="00B040E6" w:rsidP="00B040E6">
      <w:pPr>
        <w:framePr w:hSpace="180" w:wrap="around" w:vAnchor="text" w:hAnchor="page" w:x="5937" w:y="82"/>
        <w:ind w:left="-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40E6" w:rsidRPr="007F7FE2" w:rsidRDefault="00B040E6" w:rsidP="00B040E6">
      <w:pPr>
        <w:keepNext/>
        <w:spacing w:after="0" w:line="240" w:lineRule="auto"/>
        <w:ind w:left="-426" w:right="180" w:firstLine="720"/>
        <w:jc w:val="center"/>
        <w:outlineLvl w:val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 w:eastAsia="ro-RO"/>
        </w:rPr>
      </w:pPr>
    </w:p>
    <w:p w:rsidR="00B040E6" w:rsidRPr="007F7FE2" w:rsidRDefault="00B040E6" w:rsidP="00B040E6">
      <w:pPr>
        <w:keepNext/>
        <w:spacing w:after="0" w:line="240" w:lineRule="auto"/>
        <w:ind w:left="-426" w:right="180" w:hanging="22"/>
        <w:jc w:val="right"/>
        <w:outlineLvl w:val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 w:eastAsia="ro-RO"/>
        </w:rPr>
      </w:pPr>
      <w:r w:rsidRPr="007F7FE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7CC8397" wp14:editId="2BE123E7">
            <wp:extent cx="660400" cy="933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40E6" w:rsidRPr="007F7FE2" w:rsidRDefault="00B040E6" w:rsidP="00B040E6">
      <w:pPr>
        <w:ind w:left="-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40E6" w:rsidRPr="007F7FE2" w:rsidRDefault="00B040E6" w:rsidP="00B040E6">
      <w:pPr>
        <w:ind w:left="-426"/>
        <w:rPr>
          <w:rFonts w:ascii="Times New Roman" w:hAnsi="Times New Roman" w:cs="Times New Roman"/>
          <w:sz w:val="24"/>
          <w:szCs w:val="24"/>
        </w:rPr>
      </w:pPr>
      <w:r w:rsidRPr="007F7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O R D I N</w:t>
      </w:r>
    </w:p>
    <w:p w:rsidR="00B040E6" w:rsidRPr="007F7FE2" w:rsidRDefault="00B040E6" w:rsidP="00B040E6">
      <w:pPr>
        <w:ind w:left="-426"/>
        <w:rPr>
          <w:rFonts w:ascii="Times New Roman" w:hAnsi="Times New Roman" w:cs="Times New Roman"/>
          <w:sz w:val="24"/>
          <w:szCs w:val="24"/>
        </w:rPr>
      </w:pPr>
      <w:r w:rsidRPr="007F7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7F7FE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7F7FE2">
        <w:rPr>
          <w:rFonts w:ascii="Times New Roman" w:hAnsi="Times New Roman" w:cs="Times New Roman"/>
          <w:sz w:val="24"/>
          <w:szCs w:val="24"/>
        </w:rPr>
        <w:t>…………../………….2020</w:t>
      </w:r>
    </w:p>
    <w:p w:rsidR="00B040E6" w:rsidRPr="00FC01B3" w:rsidRDefault="00B040E6" w:rsidP="009F287A">
      <w:pPr>
        <w:tabs>
          <w:tab w:val="left" w:pos="426"/>
        </w:tabs>
        <w:spacing w:after="0" w:line="240" w:lineRule="auto"/>
        <w:ind w:lef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C1A96">
        <w:rPr>
          <w:rStyle w:val="shdr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BC1A96">
        <w:rPr>
          <w:rStyle w:val="shdr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proofErr w:type="spellStart"/>
      <w:r w:rsidRPr="00BC1A96">
        <w:rPr>
          <w:rStyle w:val="shdr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modificarea</w:t>
      </w:r>
      <w:proofErr w:type="spellEnd"/>
      <w:proofErr w:type="gramEnd"/>
      <w:r w:rsidRPr="00BC1A96">
        <w:rPr>
          <w:rStyle w:val="shdr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ș</w:t>
      </w:r>
      <w:r w:rsidRPr="00BC1A96">
        <w:rPr>
          <w:rStyle w:val="shdr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BC1A96">
        <w:rPr>
          <w:rStyle w:val="shdr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C1A96">
        <w:rPr>
          <w:rStyle w:val="shdr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completarea</w:t>
      </w:r>
      <w:proofErr w:type="spellEnd"/>
      <w:r w:rsidRPr="00BC1A96">
        <w:rPr>
          <w:rStyle w:val="shdr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C1A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Normelor</w:t>
      </w:r>
      <w:proofErr w:type="spellEnd"/>
      <w:r w:rsidRPr="00BC1A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C1A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tehnice</w:t>
      </w:r>
      <w:proofErr w:type="spellEnd"/>
      <w:r w:rsidRPr="00BC1A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C1A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BC1A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C1A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elaborarea</w:t>
      </w:r>
      <w:proofErr w:type="spellEnd"/>
      <w:r w:rsidRPr="00BC1A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C1A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amenajamentelor</w:t>
      </w:r>
      <w:proofErr w:type="spellEnd"/>
      <w:r w:rsidRPr="00BC1A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C1A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silvice</w:t>
      </w:r>
      <w:proofErr w:type="spellEnd"/>
      <w:r w:rsidRPr="00BC1A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C1A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modificarea</w:t>
      </w:r>
      <w:proofErr w:type="spellEnd"/>
      <w:r w:rsidRPr="00BC1A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C1A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prevederilor</w:t>
      </w:r>
      <w:proofErr w:type="spellEnd"/>
      <w:r w:rsidRPr="00BC1A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C1A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acestora</w:t>
      </w:r>
      <w:proofErr w:type="spellEnd"/>
      <w:r w:rsidRPr="00BC1A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ș</w:t>
      </w:r>
      <w:r w:rsidRPr="00BC1A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Pr="00BC1A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C1A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schimbarea</w:t>
      </w:r>
      <w:proofErr w:type="spellEnd"/>
      <w:r w:rsidRPr="00BC1A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C1A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categoriei</w:t>
      </w:r>
      <w:proofErr w:type="spellEnd"/>
      <w:r w:rsidRPr="00BC1A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BC1A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folosin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ță</w:t>
      </w:r>
      <w:proofErr w:type="spellEnd"/>
      <w:r w:rsidRPr="00BC1A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BC1A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terenurilor</w:t>
      </w:r>
      <w:proofErr w:type="spellEnd"/>
      <w:r w:rsidRPr="00BC1A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Pr="00BC1A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fondul</w:t>
      </w:r>
      <w:proofErr w:type="spellEnd"/>
      <w:r w:rsidRPr="00BC1A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C01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forestier</w:t>
      </w:r>
      <w:proofErr w:type="spellEnd"/>
      <w:r w:rsidRPr="00FC01B3">
        <w:rPr>
          <w:rStyle w:val="shdr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aprobate</w:t>
      </w:r>
      <w:proofErr w:type="spellEnd"/>
      <w:r>
        <w:rPr>
          <w:rStyle w:val="shdr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>
        <w:rPr>
          <w:rStyle w:val="shdr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C1A96">
        <w:rPr>
          <w:rStyle w:val="shdr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Ordinul</w:t>
      </w:r>
      <w:proofErr w:type="spellEnd"/>
      <w:r w:rsidRPr="00BC1A96">
        <w:rPr>
          <w:rStyle w:val="shdr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C1A96">
        <w:rPr>
          <w:rStyle w:val="shdr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ministrului</w:t>
      </w:r>
      <w:proofErr w:type="spellEnd"/>
      <w:r w:rsidRPr="00BC1A96">
        <w:rPr>
          <w:rStyle w:val="shdr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C1A96">
        <w:rPr>
          <w:rStyle w:val="shdr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apelor</w:t>
      </w:r>
      <w:proofErr w:type="spellEnd"/>
      <w:r w:rsidRPr="00BC1A96">
        <w:rPr>
          <w:rStyle w:val="shdr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ș</w:t>
      </w:r>
      <w:r w:rsidRPr="00BC1A96">
        <w:rPr>
          <w:rStyle w:val="shdr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BC1A96">
        <w:rPr>
          <w:rStyle w:val="shdr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C1A96">
        <w:rPr>
          <w:rStyle w:val="shdr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</w:t>
      </w:r>
      <w:r>
        <w:rPr>
          <w:rStyle w:val="shdr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ă</w:t>
      </w:r>
      <w:r w:rsidRPr="00BC1A96">
        <w:rPr>
          <w:rStyle w:val="shdr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durilor</w:t>
      </w:r>
      <w:proofErr w:type="spellEnd"/>
      <w:r w:rsidRPr="00BC1A96">
        <w:rPr>
          <w:rStyle w:val="shdr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C1A96">
        <w:rPr>
          <w:rStyle w:val="shdr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Pr="00BC1A96">
        <w:rPr>
          <w:rStyle w:val="shdr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766/2018 </w:t>
      </w:r>
    </w:p>
    <w:p w:rsidR="00B040E6" w:rsidRPr="007F7FE2" w:rsidRDefault="00B040E6" w:rsidP="009F287A">
      <w:pPr>
        <w:tabs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040E6" w:rsidRPr="007F7FE2" w:rsidRDefault="00B040E6" w:rsidP="009F287A">
      <w:pPr>
        <w:ind w:left="-142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>Av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â</w:t>
      </w:r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proofErr w:type="spellEnd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>vedere</w:t>
      </w:r>
      <w:proofErr w:type="spellEnd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>Referatul</w:t>
      </w:r>
      <w:proofErr w:type="spellEnd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>aprobare</w:t>
      </w:r>
      <w:proofErr w:type="spellEnd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164156/23.07.2020</w:t>
      </w:r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>Direc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ț</w:t>
      </w:r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>iei</w:t>
      </w:r>
      <w:proofErr w:type="spellEnd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>politici</w:t>
      </w:r>
      <w:proofErr w:type="spellEnd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ș</w:t>
      </w:r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>strategii</w:t>
      </w:r>
      <w:proofErr w:type="spellEnd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>silvicultur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proofErr w:type="spellEnd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B040E6" w:rsidRDefault="00B040E6" w:rsidP="006D5EE3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ținând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F287A">
        <w:rPr>
          <w:rFonts w:ascii="Times New Roman" w:hAnsi="Times New Roman" w:cs="Times New Roman"/>
          <w:sz w:val="24"/>
          <w:szCs w:val="24"/>
          <w:shd w:val="clear" w:color="auto" w:fill="FFFFFF"/>
        </w:rPr>
        <w:t>seama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prevederil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proofErr w:type="spellEnd"/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art. 20 </w:t>
        </w:r>
        <w:proofErr w:type="spellStart"/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alin</w:t>
        </w:r>
        <w:proofErr w:type="spellEnd"/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. (2),</w:t>
        </w:r>
      </w:hyperlink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history="1"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(4)</w:t>
        </w:r>
      </w:hyperlink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ș</w:t>
      </w:r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(6), </w:t>
      </w:r>
      <w:hyperlink r:id="rId10" w:history="1"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art. 22,</w:t>
        </w:r>
      </w:hyperlink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history="1"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24,</w:t>
        </w:r>
      </w:hyperlink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history="1"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art. 59 </w:t>
        </w:r>
        <w:proofErr w:type="spellStart"/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alin</w:t>
        </w:r>
        <w:proofErr w:type="spellEnd"/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. (6),</w:t>
        </w:r>
      </w:hyperlink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history="1"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(6</w:t>
        </w:r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vertAlign w:val="superscript"/>
          </w:rPr>
          <w:t>1</w:t>
        </w:r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),</w:t>
        </w:r>
      </w:hyperlink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history="1"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(6</w:t>
        </w:r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vertAlign w:val="superscript"/>
          </w:rPr>
          <w:t>2</w:t>
        </w:r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) </w:t>
        </w:r>
        <w:proofErr w:type="spellStart"/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ș</w:t>
      </w:r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history="1"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(10)</w:t>
        </w:r>
      </w:hyperlink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ș</w:t>
      </w:r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history="1"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art. 115 din </w:t>
        </w:r>
        <w:proofErr w:type="spellStart"/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Legea</w:t>
        </w:r>
        <w:proofErr w:type="spellEnd"/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nr</w:t>
        </w:r>
        <w:proofErr w:type="spellEnd"/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. 46/2008 - </w:t>
        </w:r>
        <w:proofErr w:type="spellStart"/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Codul</w:t>
        </w:r>
        <w:proofErr w:type="spellEnd"/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silvic, </w:t>
        </w:r>
        <w:proofErr w:type="spellStart"/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republicat</w:t>
        </w:r>
        <w:r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ă</w:t>
        </w:r>
        <w:proofErr w:type="spellEnd"/>
      </w:hyperlink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cu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modific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ă</w:t>
      </w:r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rile</w:t>
      </w:r>
      <w:proofErr w:type="spellEnd"/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ș</w:t>
      </w:r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complet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ă</w:t>
      </w:r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rile</w:t>
      </w:r>
      <w:proofErr w:type="spellEnd"/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ulterioare</w:t>
      </w:r>
      <w:proofErr w:type="spellEnd"/>
      <w:r w:rsidRPr="007F7F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040E6" w:rsidRPr="007F7FE2" w:rsidRDefault="00B040E6" w:rsidP="006D5EE3">
      <w:pPr>
        <w:spacing w:after="0"/>
        <w:ind w:left="-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57 </w:t>
      </w:r>
      <w:proofErr w:type="spellStart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>alin</w:t>
      </w:r>
      <w:proofErr w:type="spellEnd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>. (1)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(4)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(5) </w:t>
      </w:r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din </w:t>
      </w:r>
      <w:proofErr w:type="spellStart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>Ordonan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>urgen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ță</w:t>
      </w:r>
      <w:proofErr w:type="spellEnd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>Guvernului</w:t>
      </w:r>
      <w:proofErr w:type="spellEnd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57/2019 </w:t>
      </w:r>
      <w:proofErr w:type="spellStart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proofErr w:type="spellEnd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</w:t>
      </w:r>
      <w:proofErr w:type="spellEnd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>complet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proofErr w:type="spellEnd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precum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</w:t>
      </w:r>
      <w:r w:rsidRPr="007F7FE2">
        <w:rPr>
          <w:rFonts w:ascii="Times New Roman" w:hAnsi="Times New Roman" w:cs="Times New Roman"/>
          <w:bCs/>
          <w:sz w:val="24"/>
          <w:szCs w:val="24"/>
          <w:lang w:val="ro-RO"/>
        </w:rPr>
        <w:t>art. 13 alin. (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4</w:t>
      </w:r>
      <w:r w:rsidRPr="007F7FE2">
        <w:rPr>
          <w:rFonts w:ascii="Times New Roman" w:hAnsi="Times New Roman" w:cs="Times New Roman"/>
          <w:bCs/>
          <w:sz w:val="24"/>
          <w:szCs w:val="24"/>
          <w:lang w:val="ro-RO"/>
        </w:rPr>
        <w:t>) din Hot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7F7FE2">
        <w:rPr>
          <w:rFonts w:ascii="Times New Roman" w:hAnsi="Times New Roman" w:cs="Times New Roman"/>
          <w:bCs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â</w:t>
      </w:r>
      <w:r w:rsidRPr="007F7FE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rea Guvernului nr.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43</w:t>
      </w:r>
      <w:r w:rsidRPr="007F7FE2">
        <w:rPr>
          <w:rFonts w:ascii="Times New Roman" w:hAnsi="Times New Roman" w:cs="Times New Roman"/>
          <w:bCs/>
          <w:sz w:val="24"/>
          <w:szCs w:val="24"/>
          <w:lang w:val="ro-RO"/>
        </w:rPr>
        <w:t>/20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20</w:t>
      </w:r>
      <w:r w:rsidRPr="007F7FE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privind organizarea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7F7FE2">
        <w:rPr>
          <w:rFonts w:ascii="Times New Roman" w:hAnsi="Times New Roman" w:cs="Times New Roman"/>
          <w:bCs/>
          <w:sz w:val="24"/>
          <w:szCs w:val="24"/>
          <w:lang w:val="ro-RO"/>
        </w:rPr>
        <w:t>i func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7F7FE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ionarea Ministerului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Mediului, </w:t>
      </w:r>
      <w:r w:rsidRPr="007F7FE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Apelor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7F7FE2">
        <w:rPr>
          <w:rFonts w:ascii="Times New Roman" w:hAnsi="Times New Roman" w:cs="Times New Roman"/>
          <w:bCs/>
          <w:sz w:val="24"/>
          <w:szCs w:val="24"/>
          <w:lang w:val="ro-RO"/>
        </w:rPr>
        <w:t>i P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7F7FE2">
        <w:rPr>
          <w:rFonts w:ascii="Times New Roman" w:hAnsi="Times New Roman" w:cs="Times New Roman"/>
          <w:bCs/>
          <w:sz w:val="24"/>
          <w:szCs w:val="24"/>
          <w:lang w:val="ro-RO"/>
        </w:rPr>
        <w:t>durilor,</w:t>
      </w:r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0E6" w:rsidRPr="007F7FE2" w:rsidRDefault="00B040E6" w:rsidP="009F287A">
      <w:pPr>
        <w:spacing w:after="0"/>
        <w:ind w:left="-142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40E6" w:rsidRPr="007F7FE2" w:rsidRDefault="00B040E6" w:rsidP="009F287A">
      <w:pPr>
        <w:ind w:left="-142" w:firstLine="720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proofErr w:type="gramStart"/>
      <w:r w:rsidRPr="007F7FE2">
        <w:rPr>
          <w:rFonts w:ascii="Times New Roman" w:hAnsi="Times New Roman" w:cs="Times New Roman"/>
          <w:b/>
          <w:sz w:val="24"/>
          <w:szCs w:val="24"/>
        </w:rPr>
        <w:t>ministrul</w:t>
      </w:r>
      <w:proofErr w:type="spellEnd"/>
      <w:proofErr w:type="gramEnd"/>
      <w:r w:rsidRPr="007F7F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7FE2">
        <w:rPr>
          <w:rFonts w:ascii="Times New Roman" w:hAnsi="Times New Roman" w:cs="Times New Roman"/>
          <w:b/>
          <w:sz w:val="24"/>
          <w:szCs w:val="24"/>
        </w:rPr>
        <w:t>mediului</w:t>
      </w:r>
      <w:proofErr w:type="spellEnd"/>
      <w:r w:rsidRPr="007F7FE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F7FE2">
        <w:rPr>
          <w:rFonts w:ascii="Times New Roman" w:hAnsi="Times New Roman" w:cs="Times New Roman"/>
          <w:b/>
          <w:sz w:val="24"/>
          <w:szCs w:val="24"/>
        </w:rPr>
        <w:t>apelor</w:t>
      </w:r>
      <w:proofErr w:type="spellEnd"/>
      <w:r w:rsidRPr="007F7F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</w:t>
      </w:r>
      <w:r w:rsidRPr="007F7FE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7F7F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7FE2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7F7FE2">
        <w:rPr>
          <w:rFonts w:ascii="Times New Roman" w:hAnsi="Times New Roman" w:cs="Times New Roman"/>
          <w:b/>
          <w:sz w:val="24"/>
          <w:szCs w:val="24"/>
        </w:rPr>
        <w:t>durilor</w:t>
      </w:r>
      <w:proofErr w:type="spellEnd"/>
      <w:r w:rsidRPr="007F7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FE2">
        <w:rPr>
          <w:rFonts w:ascii="Times New Roman" w:hAnsi="Times New Roman" w:cs="Times New Roman"/>
          <w:sz w:val="24"/>
          <w:szCs w:val="24"/>
          <w:lang w:val="pt-BR"/>
        </w:rPr>
        <w:t>emite urm</w:t>
      </w:r>
      <w:r>
        <w:rPr>
          <w:rFonts w:ascii="Times New Roman" w:hAnsi="Times New Roman" w:cs="Times New Roman"/>
          <w:sz w:val="24"/>
          <w:szCs w:val="24"/>
          <w:lang w:val="pt-BR"/>
        </w:rPr>
        <w:t>ă</w:t>
      </w:r>
      <w:r w:rsidRPr="007F7FE2">
        <w:rPr>
          <w:rFonts w:ascii="Times New Roman" w:hAnsi="Times New Roman" w:cs="Times New Roman"/>
          <w:sz w:val="24"/>
          <w:szCs w:val="24"/>
          <w:lang w:val="pt-BR"/>
        </w:rPr>
        <w:t>torul </w:t>
      </w:r>
    </w:p>
    <w:p w:rsidR="00B040E6" w:rsidRDefault="00B040E6" w:rsidP="009F287A">
      <w:pPr>
        <w:ind w:left="-142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040E6" w:rsidRDefault="00B040E6" w:rsidP="009F287A">
      <w:pPr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F7FE2">
        <w:rPr>
          <w:rFonts w:ascii="Times New Roman" w:hAnsi="Times New Roman" w:cs="Times New Roman"/>
          <w:b/>
          <w:sz w:val="24"/>
          <w:szCs w:val="24"/>
          <w:lang w:val="pt-BR"/>
        </w:rPr>
        <w:t>O R D I N:</w:t>
      </w:r>
    </w:p>
    <w:p w:rsidR="00B040E6" w:rsidRDefault="00B040E6" w:rsidP="009F287A">
      <w:pPr>
        <w:tabs>
          <w:tab w:val="left" w:pos="426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C01B3">
        <w:rPr>
          <w:rFonts w:ascii="Times New Roman" w:eastAsia="Times New Roman" w:hAnsi="Times New Roman" w:cs="Times New Roman"/>
          <w:b/>
          <w:sz w:val="24"/>
          <w:szCs w:val="24"/>
        </w:rPr>
        <w:t>Art. I.</w:t>
      </w:r>
      <w:r w:rsidRPr="00FC01B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905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Normele</w:t>
      </w:r>
      <w:proofErr w:type="spellEnd"/>
      <w:r w:rsidRPr="001905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5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tehnice</w:t>
      </w:r>
      <w:proofErr w:type="spellEnd"/>
      <w:r w:rsidRPr="001905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5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1905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05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elaborarea</w:t>
      </w:r>
      <w:proofErr w:type="spellEnd"/>
      <w:r w:rsidRPr="001905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05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amenajamentelor</w:t>
      </w:r>
      <w:proofErr w:type="spellEnd"/>
      <w:r w:rsidRPr="001905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05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silvice</w:t>
      </w:r>
      <w:proofErr w:type="spellEnd"/>
      <w:r w:rsidRPr="001905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905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modificarea</w:t>
      </w:r>
      <w:proofErr w:type="spellEnd"/>
      <w:r w:rsidRPr="001905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05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prevederilor</w:t>
      </w:r>
      <w:proofErr w:type="spellEnd"/>
      <w:r w:rsidRPr="001905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05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acestora</w:t>
      </w:r>
      <w:proofErr w:type="spellEnd"/>
      <w:r w:rsidRPr="001905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05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Pr="001905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05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schimbarea</w:t>
      </w:r>
      <w:proofErr w:type="spellEnd"/>
      <w:r w:rsidRPr="001905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05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categoriei</w:t>
      </w:r>
      <w:proofErr w:type="spellEnd"/>
      <w:r w:rsidRPr="001905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1905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folosință</w:t>
      </w:r>
      <w:proofErr w:type="spellEnd"/>
      <w:r w:rsidRPr="001905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1905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terenurilor</w:t>
      </w:r>
      <w:proofErr w:type="spellEnd"/>
      <w:r w:rsidRPr="001905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Pr="001905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fondul</w:t>
      </w:r>
      <w:proofErr w:type="spellEnd"/>
      <w:r w:rsidRPr="001905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05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forestier</w:t>
      </w:r>
      <w:proofErr w:type="spellEnd"/>
      <w:r>
        <w:rPr>
          <w:rStyle w:val="shdr"/>
          <w:bCs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90598">
        <w:rPr>
          <w:rStyle w:val="shdr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aprobate</w:t>
      </w:r>
      <w:proofErr w:type="spellEnd"/>
      <w:r w:rsidRPr="00190598">
        <w:rPr>
          <w:rStyle w:val="shdr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90598">
        <w:rPr>
          <w:rStyle w:val="shdr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>
        <w:rPr>
          <w:rStyle w:val="shdr"/>
          <w:b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01B3">
        <w:rPr>
          <w:rStyle w:val="shdr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Ordinul</w:t>
      </w:r>
      <w:proofErr w:type="spellEnd"/>
      <w:r w:rsidRPr="00FC01B3">
        <w:rPr>
          <w:rStyle w:val="shdr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01B3">
        <w:rPr>
          <w:rStyle w:val="shdr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ministrului</w:t>
      </w:r>
      <w:proofErr w:type="spellEnd"/>
      <w:r w:rsidRPr="00FC01B3">
        <w:rPr>
          <w:rStyle w:val="shdr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01B3">
        <w:rPr>
          <w:rStyle w:val="shdr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apelor</w:t>
      </w:r>
      <w:proofErr w:type="spellEnd"/>
      <w:r w:rsidRPr="00FC01B3">
        <w:rPr>
          <w:rStyle w:val="shdr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ș</w:t>
      </w:r>
      <w:r w:rsidRPr="00FC01B3">
        <w:rPr>
          <w:rStyle w:val="shdr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FC01B3">
        <w:rPr>
          <w:rStyle w:val="shdr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01B3">
        <w:rPr>
          <w:rStyle w:val="shdr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</w:t>
      </w:r>
      <w:r>
        <w:rPr>
          <w:rStyle w:val="shdr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ă</w:t>
      </w:r>
      <w:r w:rsidRPr="00FC01B3">
        <w:rPr>
          <w:rStyle w:val="shdr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durilor</w:t>
      </w:r>
      <w:proofErr w:type="spellEnd"/>
      <w:r w:rsidRPr="00FC01B3">
        <w:rPr>
          <w:rStyle w:val="shdr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01B3">
        <w:rPr>
          <w:rStyle w:val="shdr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Pr="00FC01B3">
        <w:rPr>
          <w:rStyle w:val="shdr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766/2018, </w:t>
      </w:r>
      <w:proofErr w:type="spellStart"/>
      <w:r w:rsidRPr="00FC01B3">
        <w:rPr>
          <w:rFonts w:ascii="Times New Roman" w:eastAsia="Times New Roman" w:hAnsi="Times New Roman" w:cs="Times New Roman"/>
          <w:sz w:val="24"/>
          <w:szCs w:val="24"/>
        </w:rPr>
        <w:t>publicat</w:t>
      </w:r>
      <w:proofErr w:type="spellEnd"/>
      <w:r w:rsidRPr="00FC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FC01B3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FC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01B3">
        <w:rPr>
          <w:rFonts w:ascii="Times New Roman" w:eastAsia="Times New Roman" w:hAnsi="Times New Roman" w:cs="Times New Roman"/>
          <w:sz w:val="24"/>
          <w:szCs w:val="24"/>
        </w:rPr>
        <w:t>Monitorul</w:t>
      </w:r>
      <w:proofErr w:type="spellEnd"/>
      <w:r w:rsidRPr="00FC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01B3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Pr="00FC01B3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FC01B3"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z w:val="24"/>
          <w:szCs w:val="24"/>
        </w:rPr>
        <w:t>â</w:t>
      </w:r>
      <w:r w:rsidRPr="00FC01B3">
        <w:rPr>
          <w:rFonts w:ascii="Times New Roman" w:eastAsia="Times New Roman" w:hAnsi="Times New Roman" w:cs="Times New Roman"/>
          <w:sz w:val="24"/>
          <w:szCs w:val="24"/>
        </w:rPr>
        <w:t>niei</w:t>
      </w:r>
      <w:proofErr w:type="spellEnd"/>
      <w:r w:rsidRPr="00FC0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01B3"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 w:rsidRPr="00FC01B3">
        <w:rPr>
          <w:rFonts w:ascii="Times New Roman" w:eastAsia="Times New Roman" w:hAnsi="Times New Roman" w:cs="Times New Roman"/>
          <w:sz w:val="24"/>
          <w:szCs w:val="24"/>
        </w:rPr>
        <w:t xml:space="preserve"> I, </w:t>
      </w:r>
      <w:proofErr w:type="spellStart"/>
      <w:r w:rsidRPr="00FC01B3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FC01B3">
        <w:rPr>
          <w:rFonts w:ascii="Times New Roman" w:eastAsia="Times New Roman" w:hAnsi="Times New Roman" w:cs="Times New Roman"/>
          <w:sz w:val="24"/>
          <w:szCs w:val="24"/>
        </w:rPr>
        <w:t>. 730 din 23</w:t>
      </w:r>
      <w:r w:rsidRPr="00FF1569">
        <w:rPr>
          <w:rFonts w:ascii="Times New Roman" w:eastAsia="Times New Roman" w:hAnsi="Times New Roman" w:cs="Times New Roman"/>
          <w:sz w:val="24"/>
          <w:szCs w:val="24"/>
        </w:rPr>
        <w:t xml:space="preserve"> august 2018,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1569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FF1569">
        <w:rPr>
          <w:rFonts w:ascii="Times New Roman" w:eastAsia="Times New Roman" w:hAnsi="Times New Roman" w:cs="Times New Roman"/>
          <w:sz w:val="24"/>
          <w:szCs w:val="24"/>
        </w:rPr>
        <w:t>modific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FF15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569">
        <w:rPr>
          <w:rFonts w:ascii="Times New Roman" w:eastAsia="Times New Roman" w:hAnsi="Times New Roman" w:cs="Times New Roman"/>
          <w:sz w:val="24"/>
          <w:szCs w:val="24"/>
        </w:rPr>
        <w:t>dup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 w:rsidRPr="00FF1569"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 w:rsidRPr="00FF1569">
        <w:rPr>
          <w:rFonts w:ascii="Times New Roman" w:eastAsia="Times New Roman" w:hAnsi="Times New Roman" w:cs="Times New Roman"/>
          <w:sz w:val="24"/>
          <w:szCs w:val="24"/>
        </w:rPr>
        <w:t>urmeaz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 w:rsidRPr="00FF15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40E6" w:rsidRDefault="00B040E6" w:rsidP="009F287A">
      <w:pPr>
        <w:tabs>
          <w:tab w:val="left" w:pos="426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0E6" w:rsidRPr="00FF1569" w:rsidRDefault="006D5EE3" w:rsidP="009F287A">
      <w:pPr>
        <w:tabs>
          <w:tab w:val="left" w:pos="426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040E6">
        <w:rPr>
          <w:rFonts w:ascii="Times New Roman" w:eastAsia="Times New Roman" w:hAnsi="Times New Roman" w:cs="Times New Roman"/>
          <w:b/>
          <w:sz w:val="24"/>
          <w:szCs w:val="24"/>
        </w:rPr>
        <w:t xml:space="preserve">. La </w:t>
      </w:r>
      <w:proofErr w:type="spellStart"/>
      <w:r w:rsidR="00B040E6">
        <w:rPr>
          <w:rFonts w:ascii="Times New Roman" w:eastAsia="Times New Roman" w:hAnsi="Times New Roman" w:cs="Times New Roman"/>
          <w:b/>
          <w:sz w:val="24"/>
          <w:szCs w:val="24"/>
        </w:rPr>
        <w:t>anexa</w:t>
      </w:r>
      <w:proofErr w:type="spellEnd"/>
      <w:r w:rsidR="00B040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40E6"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proofErr w:type="spellEnd"/>
      <w:r w:rsidR="00B040E6">
        <w:rPr>
          <w:rFonts w:ascii="Times New Roman" w:eastAsia="Times New Roman" w:hAnsi="Times New Roman" w:cs="Times New Roman"/>
          <w:b/>
          <w:sz w:val="24"/>
          <w:szCs w:val="24"/>
        </w:rPr>
        <w:t xml:space="preserve">. 1 la </w:t>
      </w:r>
      <w:proofErr w:type="spellStart"/>
      <w:r w:rsidR="00B040E6">
        <w:rPr>
          <w:rFonts w:ascii="Times New Roman" w:eastAsia="Times New Roman" w:hAnsi="Times New Roman" w:cs="Times New Roman"/>
          <w:b/>
          <w:sz w:val="24"/>
          <w:szCs w:val="24"/>
        </w:rPr>
        <w:t>ordin</w:t>
      </w:r>
      <w:proofErr w:type="spellEnd"/>
      <w:r w:rsidR="00B040E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040E6">
        <w:rPr>
          <w:rFonts w:ascii="Times New Roman" w:eastAsia="Times New Roman" w:hAnsi="Times New Roman" w:cs="Times New Roman"/>
          <w:b/>
          <w:sz w:val="24"/>
          <w:szCs w:val="24"/>
        </w:rPr>
        <w:t>articolul</w:t>
      </w:r>
      <w:proofErr w:type="spellEnd"/>
      <w:r w:rsidR="00B040E6">
        <w:rPr>
          <w:rFonts w:ascii="Times New Roman" w:eastAsia="Times New Roman" w:hAnsi="Times New Roman" w:cs="Times New Roman"/>
          <w:b/>
          <w:sz w:val="24"/>
          <w:szCs w:val="24"/>
        </w:rPr>
        <w:t xml:space="preserve"> 2, </w:t>
      </w:r>
      <w:proofErr w:type="spellStart"/>
      <w:r w:rsidR="00B040E6">
        <w:rPr>
          <w:rFonts w:ascii="Times New Roman" w:eastAsia="Times New Roman" w:hAnsi="Times New Roman" w:cs="Times New Roman"/>
          <w:b/>
          <w:sz w:val="24"/>
          <w:szCs w:val="24"/>
        </w:rPr>
        <w:t>litera</w:t>
      </w:r>
      <w:proofErr w:type="spellEnd"/>
      <w:r w:rsidR="00B040E6">
        <w:rPr>
          <w:rFonts w:ascii="Times New Roman" w:eastAsia="Times New Roman" w:hAnsi="Times New Roman" w:cs="Times New Roman"/>
          <w:b/>
          <w:sz w:val="24"/>
          <w:szCs w:val="24"/>
        </w:rPr>
        <w:t xml:space="preserve"> b) se </w:t>
      </w:r>
      <w:proofErr w:type="spellStart"/>
      <w:r w:rsidR="00B040E6">
        <w:rPr>
          <w:rFonts w:ascii="Times New Roman" w:eastAsia="Times New Roman" w:hAnsi="Times New Roman" w:cs="Times New Roman"/>
          <w:b/>
          <w:sz w:val="24"/>
          <w:szCs w:val="24"/>
        </w:rPr>
        <w:t>modifică</w:t>
      </w:r>
      <w:proofErr w:type="spellEnd"/>
      <w:r w:rsidR="00B040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40E6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="00B040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B040E6">
        <w:rPr>
          <w:rFonts w:ascii="Times New Roman" w:eastAsia="Times New Roman" w:hAnsi="Times New Roman" w:cs="Times New Roman"/>
          <w:b/>
          <w:sz w:val="24"/>
          <w:szCs w:val="24"/>
        </w:rPr>
        <w:t>va</w:t>
      </w:r>
      <w:proofErr w:type="spellEnd"/>
      <w:proofErr w:type="gramEnd"/>
      <w:r w:rsidR="00B040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40E6">
        <w:rPr>
          <w:rFonts w:ascii="Times New Roman" w:eastAsia="Times New Roman" w:hAnsi="Times New Roman" w:cs="Times New Roman"/>
          <w:b/>
          <w:sz w:val="24"/>
          <w:szCs w:val="24"/>
        </w:rPr>
        <w:t>avea</w:t>
      </w:r>
      <w:proofErr w:type="spellEnd"/>
      <w:r w:rsidR="00B040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40E6">
        <w:rPr>
          <w:rFonts w:ascii="Times New Roman" w:eastAsia="Times New Roman" w:hAnsi="Times New Roman" w:cs="Times New Roman"/>
          <w:b/>
          <w:sz w:val="24"/>
          <w:szCs w:val="24"/>
        </w:rPr>
        <w:t>următorul</w:t>
      </w:r>
      <w:proofErr w:type="spellEnd"/>
      <w:r w:rsidR="00B040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40E6">
        <w:rPr>
          <w:rFonts w:ascii="Times New Roman" w:eastAsia="Times New Roman" w:hAnsi="Times New Roman" w:cs="Times New Roman"/>
          <w:b/>
          <w:sz w:val="24"/>
          <w:szCs w:val="24"/>
        </w:rPr>
        <w:t>cuprins</w:t>
      </w:r>
      <w:proofErr w:type="spellEnd"/>
      <w:r w:rsidR="00B040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040E6" w:rsidRDefault="00B040E6" w:rsidP="009F287A">
      <w:pPr>
        <w:ind w:left="-14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b) </w:t>
      </w:r>
      <w:proofErr w:type="spellStart"/>
      <w:proofErr w:type="gram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arborii</w:t>
      </w:r>
      <w:proofErr w:type="spellEnd"/>
      <w:proofErr w:type="gram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afecta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ț</w:t>
      </w:r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factori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destabi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lizatori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biotici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abiotici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dintr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-un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arboret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sunt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concentra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ț</w:t>
      </w:r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suprafa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ță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compact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ă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mare de 0,5 ha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</w:t>
      </w:r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situa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ț</w:t>
      </w:r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ia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</w:t>
      </w:r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care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extragerea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arborilor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afecta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ț</w:t>
      </w:r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factori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destabilizatori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biotici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abiotici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ă</w:t>
      </w:r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ț</w:t>
      </w:r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 </w:t>
      </w:r>
      <w:r w:rsidRPr="00FF1569">
        <w:rPr>
          <w:rStyle w:val="slg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lit. </w:t>
      </w:r>
      <w:proofErr w:type="gramStart"/>
      <w:r w:rsidRPr="00FF1569">
        <w:rPr>
          <w:rStyle w:val="slg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Pr="00FF1569">
        <w:rPr>
          <w:rStyle w:val="slg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FF1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determin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ă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</w:t>
      </w:r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ncadrarea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arboretelor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</w:t>
      </w:r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urgen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ț</w:t>
      </w:r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de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regenerare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</w:t>
      </w:r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ncadrarea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arboretelor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</w:t>
      </w:r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urgen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ț</w:t>
      </w:r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de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regenerare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stabile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</w:t>
      </w:r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ă</w:t>
      </w:r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unitatea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specializată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atestată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lucrări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amenajarea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pădurilor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suprafe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ț</w:t>
      </w:r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peste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</w:t>
      </w:r>
      <w:proofErr w:type="gram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,5</w:t>
      </w:r>
      <w:proofErr w:type="gram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necesare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realiz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ă</w:t>
      </w:r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rii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instala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ț</w:t>
      </w:r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iilor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scos-apropiat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nu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necesar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ă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modificarea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prevederilor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amenajamentului</w:t>
      </w:r>
      <w:proofErr w:type="spellEnd"/>
      <w:r w:rsidRPr="00FF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silvic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.”</w:t>
      </w:r>
    </w:p>
    <w:p w:rsidR="00B040E6" w:rsidRPr="00B14104" w:rsidRDefault="00435317" w:rsidP="009F287A">
      <w:pPr>
        <w:ind w:left="-142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bookmarkStart w:id="0" w:name="_GoBack"/>
      <w:bookmarkEnd w:id="0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La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anexa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nr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3 din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norme-</w:t>
      </w:r>
      <w:r w:rsidR="00B040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Î</w:t>
      </w:r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ncadrarea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vegetației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forestiere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în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grupe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subgrupe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și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categorii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funcționale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precizările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privind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condițiil</w:t>
      </w:r>
      <w:r w:rsidR="00B040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încadrare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în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categoria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funcțională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1.5.p</w:t>
      </w:r>
      <w:r w:rsidR="00B040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subgrupa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1.5.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Păduri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interes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științific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de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ocrotire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genofondului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și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ecofondului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forestier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și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proofErr w:type="gram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altor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ecosisteme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elemente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naturale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valoare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deosebită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se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completează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după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cum </w:t>
      </w:r>
      <w:proofErr w:type="spellStart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urmează</w:t>
      </w:r>
      <w:proofErr w:type="spellEnd"/>
      <w:r w:rsidR="00B040E6" w:rsidRPr="00B14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B040E6" w:rsidRDefault="00B040E6" w:rsidP="009F287A">
      <w:pPr>
        <w:ind w:left="-142" w:firstLine="567"/>
        <w:jc w:val="both"/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tbl>
      <w:tblPr>
        <w:tblW w:w="10774" w:type="dxa"/>
        <w:tblInd w:w="-4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513"/>
      </w:tblGrid>
      <w:tr w:rsidR="00B040E6" w:rsidRPr="00E61BE5" w:rsidTr="008B4A6C"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040E6" w:rsidRPr="00E61BE5" w:rsidRDefault="00B040E6" w:rsidP="008B4A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61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Categoria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funcțională</w:t>
            </w:r>
            <w:proofErr w:type="spellEnd"/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040E6" w:rsidRPr="00E61BE5" w:rsidRDefault="00B040E6" w:rsidP="008B4A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61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Precizări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privind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condițiile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încadrare</w:t>
            </w:r>
            <w:proofErr w:type="spellEnd"/>
          </w:p>
        </w:tc>
      </w:tr>
      <w:tr w:rsidR="00B040E6" w:rsidRPr="00E61BE5" w:rsidTr="008B4A6C"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040E6" w:rsidRPr="00E61BE5" w:rsidRDefault="00B040E6" w:rsidP="008B4A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040E6" w:rsidRPr="00E61BE5" w:rsidRDefault="00B040E6" w:rsidP="008B4A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61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Grupa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 -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Păduri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funcții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speciale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protecție</w:t>
            </w:r>
            <w:proofErr w:type="spellEnd"/>
          </w:p>
        </w:tc>
      </w:tr>
      <w:tr w:rsidR="00B040E6" w:rsidRPr="00E61BE5" w:rsidTr="008B4A6C">
        <w:tc>
          <w:tcPr>
            <w:tcW w:w="10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040E6" w:rsidRPr="00E61BE5" w:rsidRDefault="00B040E6" w:rsidP="008B4A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6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Subgrupa</w:t>
            </w:r>
            <w:proofErr w:type="spellEnd"/>
            <w:r w:rsidRPr="00E6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1.5. </w:t>
            </w:r>
            <w:proofErr w:type="spellStart"/>
            <w:r w:rsidRPr="00E6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Păduri</w:t>
            </w:r>
            <w:proofErr w:type="spellEnd"/>
            <w:r w:rsidRPr="00E6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E6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interes</w:t>
            </w:r>
            <w:proofErr w:type="spellEnd"/>
            <w:r w:rsidRPr="00E6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științific</w:t>
            </w:r>
            <w:proofErr w:type="spellEnd"/>
            <w:r w:rsidRPr="00E6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de </w:t>
            </w:r>
            <w:proofErr w:type="spellStart"/>
            <w:r w:rsidRPr="00E6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ocrotire</w:t>
            </w:r>
            <w:proofErr w:type="spellEnd"/>
            <w:r w:rsidRPr="00E6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E6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genofondului</w:t>
            </w:r>
            <w:proofErr w:type="spellEnd"/>
            <w:r w:rsidRPr="00E6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și</w:t>
            </w:r>
            <w:proofErr w:type="spellEnd"/>
            <w:r w:rsidRPr="00E6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ecofondului</w:t>
            </w:r>
            <w:proofErr w:type="spellEnd"/>
            <w:r w:rsidRPr="00E6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forestier</w:t>
            </w:r>
            <w:proofErr w:type="spellEnd"/>
            <w:r w:rsidRPr="00E6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și</w:t>
            </w:r>
            <w:proofErr w:type="spellEnd"/>
            <w:r w:rsidRPr="00E6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E6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altor</w:t>
            </w:r>
            <w:proofErr w:type="spellEnd"/>
            <w:r w:rsidRPr="00E6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ecosisteme</w:t>
            </w:r>
            <w:proofErr w:type="spellEnd"/>
            <w:r w:rsidRPr="00E6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cu </w:t>
            </w:r>
            <w:proofErr w:type="spellStart"/>
            <w:r w:rsidRPr="00E6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elemente</w:t>
            </w:r>
            <w:proofErr w:type="spellEnd"/>
            <w:r w:rsidRPr="00E6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naturale</w:t>
            </w:r>
            <w:proofErr w:type="spellEnd"/>
            <w:r w:rsidRPr="00E6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E6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valoare</w:t>
            </w:r>
            <w:proofErr w:type="spellEnd"/>
            <w:r w:rsidRPr="00E6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deosebită</w:t>
            </w:r>
            <w:proofErr w:type="spellEnd"/>
          </w:p>
        </w:tc>
      </w:tr>
      <w:tr w:rsidR="00B040E6" w:rsidRPr="00E61BE5" w:rsidTr="008B4A6C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40E6" w:rsidRPr="00E61BE5" w:rsidRDefault="00B040E6" w:rsidP="008B4A6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1.5.p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040E6" w:rsidRPr="00F426BF" w:rsidRDefault="00B040E6" w:rsidP="008B4A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includ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arborete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vârste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înaintate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tipul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ecosistem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forestier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neconstituite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protejate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care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prezintă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valoare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deosebită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sub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raportul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conservării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biodiversității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neincluse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studiile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identificarea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pădurilor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virgine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Se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vor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include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pădurile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seculare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fără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structuri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primare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care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necesită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intervenții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scopul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reconstituirii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structurilor</w:t>
            </w:r>
            <w:proofErr w:type="spellEnd"/>
            <w:r w:rsidRPr="00E6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tip natural.</w:t>
            </w:r>
          </w:p>
          <w:p w:rsidR="00B040E6" w:rsidRDefault="00B040E6" w:rsidP="008B4A6C">
            <w:pPr>
              <w:spacing w:after="0" w:line="240" w:lineRule="auto"/>
              <w:ind w:firstLine="567"/>
              <w:jc w:val="both"/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Încadrarea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în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categoria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pădurilor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seculare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se face </w:t>
            </w: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în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baza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criteriului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Naturalitatea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prin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îndeplinirea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cumulativă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 </w:t>
            </w: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următorilor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indicatori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     </w:t>
            </w:r>
          </w:p>
          <w:p w:rsidR="00B040E6" w:rsidRDefault="00B040E6" w:rsidP="008B4A6C">
            <w:pPr>
              <w:spacing w:after="0" w:line="240" w:lineRule="auto"/>
              <w:ind w:firstLine="567"/>
              <w:jc w:val="both"/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1.1.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Compoziție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și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distribuție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naturală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speciilor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componente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acestea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fiind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regenerate natural. </w:t>
            </w:r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</w:t>
            </w:r>
          </w:p>
          <w:p w:rsidR="00B040E6" w:rsidRDefault="00B040E6" w:rsidP="008B4A6C">
            <w:pPr>
              <w:spacing w:after="0" w:line="240" w:lineRule="auto"/>
              <w:ind w:firstLine="567"/>
              <w:jc w:val="both"/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1.2.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</w:t>
            </w:r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rezența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unor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structuri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complexe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</w:t>
            </w:r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tratificate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în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plan vertical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și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mozaicat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în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plan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orizontal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fiind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evidentă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textura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specifică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constituită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din faze de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dezvoltare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Pot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lipsi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unele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faze de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dezvoltare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cu  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deosebire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faza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de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dezagregare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sau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faza</w:t>
            </w:r>
            <w:proofErr w:type="spellEnd"/>
            <w:proofErr w:type="gram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de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regenerare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                    </w:t>
            </w:r>
          </w:p>
          <w:p w:rsidR="00B040E6" w:rsidRDefault="00B040E6" w:rsidP="008B4A6C">
            <w:pPr>
              <w:spacing w:after="0" w:line="240" w:lineRule="auto"/>
              <w:ind w:firstLine="567"/>
              <w:jc w:val="both"/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1.3.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Biodiversitate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ridicată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inclusiv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sub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raportul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dimensiunilor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și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vârstei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arborilor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unii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dintre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aceștia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având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elemente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de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arboret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cu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vârste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de             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peste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1</w:t>
            </w:r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</w:t>
            </w:r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0 de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ani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Frecvent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structură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plurienă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și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relativ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plurienă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     </w:t>
            </w:r>
          </w:p>
          <w:p w:rsidR="00B040E6" w:rsidRDefault="00B040E6" w:rsidP="008B4A6C">
            <w:pPr>
              <w:spacing w:after="0" w:line="240" w:lineRule="auto"/>
              <w:ind w:firstLine="567"/>
              <w:jc w:val="both"/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1.4.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Lipsa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intervențiilor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silviculturale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în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ultima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perioadă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de 30 de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ani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             Se admit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cel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mult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cioate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vechi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la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he</w:t>
            </w:r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ctar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având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diametre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peste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15 cm,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aflate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în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diferite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stadii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de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descompunere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:rsidR="00B040E6" w:rsidRDefault="00B040E6" w:rsidP="008B4A6C">
            <w:pPr>
              <w:spacing w:after="0" w:line="240" w:lineRule="auto"/>
              <w:ind w:firstLine="567"/>
              <w:jc w:val="both"/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1.</w:t>
            </w:r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5</w:t>
            </w:r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Consistență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-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indicele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de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închidere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coronamentului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-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naturală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sau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apr</w:t>
            </w:r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opiată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aceasta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(de minim</w:t>
            </w:r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0</w:t>
            </w:r>
            <w:proofErr w:type="gram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  <w:proofErr w:type="gram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adecvată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condițiilor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staț</w:t>
            </w:r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ionale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variabilă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în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raport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cu </w:t>
            </w: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</w:t>
            </w:r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aza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de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dezvoltare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În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condiții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staționale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precare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consistența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este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</w:t>
            </w:r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ult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subunitară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Molidiș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de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stâncărie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calcaroasă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Molidiș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cu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Polytrichum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ș.a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.). </w:t>
            </w:r>
          </w:p>
          <w:p w:rsidR="00B040E6" w:rsidRPr="00E61BE5" w:rsidRDefault="00B040E6" w:rsidP="008B4A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1.</w:t>
            </w:r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</w:t>
            </w:r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Sol </w:t>
            </w: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nealterat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eroziune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datorată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intervențiilor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antropice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Se admit           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drumuri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vechi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de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exploatare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dar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acestea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sunt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neutilizate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și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acoperite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în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mod natural cu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litieră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plantule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arbuști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arbori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și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sau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plante</w:t>
            </w:r>
            <w:proofErr w:type="spellEnd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</w:t>
            </w:r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erboase</w:t>
            </w:r>
            <w:proofErr w:type="spellEnd"/>
            <w:r w:rsidRPr="00F426BF"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                               </w:t>
            </w:r>
          </w:p>
        </w:tc>
      </w:tr>
    </w:tbl>
    <w:p w:rsidR="00B040E6" w:rsidRPr="00F426BF" w:rsidRDefault="00B040E6" w:rsidP="00B040E6">
      <w:pPr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0E6" w:rsidRDefault="00B040E6" w:rsidP="00B040E6">
      <w:pPr>
        <w:ind w:left="-426"/>
        <w:jc w:val="both"/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B040E6" w:rsidRPr="00604D27" w:rsidRDefault="00B040E6" w:rsidP="00B040E6">
      <w:pPr>
        <w:ind w:left="-426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040E6" w:rsidRPr="00604D27" w:rsidRDefault="00B040E6" w:rsidP="00B040E6">
      <w:pPr>
        <w:spacing w:after="0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D27">
        <w:rPr>
          <w:rFonts w:ascii="Times New Roman" w:hAnsi="Times New Roman" w:cs="Times New Roman"/>
          <w:b/>
          <w:sz w:val="24"/>
          <w:szCs w:val="24"/>
        </w:rPr>
        <w:t>MINISTRUL MEDIULUI, APELOR ȘI PĂDURILOR</w:t>
      </w:r>
    </w:p>
    <w:p w:rsidR="00B040E6" w:rsidRPr="00604D27" w:rsidRDefault="00B040E6" w:rsidP="00B040E6">
      <w:pPr>
        <w:spacing w:after="0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0E6" w:rsidRPr="00604D27" w:rsidRDefault="00B040E6" w:rsidP="00B040E6">
      <w:pPr>
        <w:ind w:left="-426" w:firstLine="568"/>
        <w:jc w:val="both"/>
        <w:rPr>
          <w:b/>
        </w:rPr>
      </w:pPr>
    </w:p>
    <w:p w:rsidR="00B040E6" w:rsidRPr="00604D27" w:rsidRDefault="00B040E6" w:rsidP="00B04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4D27">
        <w:rPr>
          <w:rFonts w:ascii="Times New Roman" w:hAnsi="Times New Roman" w:cs="Times New Roman"/>
          <w:b/>
          <w:sz w:val="24"/>
          <w:szCs w:val="24"/>
        </w:rPr>
        <w:t>Mircea</w:t>
      </w:r>
      <w:proofErr w:type="spellEnd"/>
      <w:r w:rsidRPr="00604D27">
        <w:rPr>
          <w:rFonts w:ascii="Times New Roman" w:hAnsi="Times New Roman" w:cs="Times New Roman"/>
          <w:b/>
          <w:sz w:val="24"/>
          <w:szCs w:val="24"/>
        </w:rPr>
        <w:t xml:space="preserve"> FECHET</w:t>
      </w:r>
    </w:p>
    <w:p w:rsidR="003C61D9" w:rsidRDefault="003C61D9"/>
    <w:sectPr w:rsidR="003C61D9" w:rsidSect="009F287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568" w:right="90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090" w:rsidRDefault="005D7090">
      <w:pPr>
        <w:spacing w:after="0" w:line="240" w:lineRule="auto"/>
      </w:pPr>
      <w:r>
        <w:separator/>
      </w:r>
    </w:p>
  </w:endnote>
  <w:endnote w:type="continuationSeparator" w:id="0">
    <w:p w:rsidR="005D7090" w:rsidRDefault="005D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CEE" w:rsidRDefault="005D70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CEE" w:rsidRDefault="005D70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CEE" w:rsidRDefault="005D7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090" w:rsidRDefault="005D7090">
      <w:pPr>
        <w:spacing w:after="0" w:line="240" w:lineRule="auto"/>
      </w:pPr>
      <w:r>
        <w:separator/>
      </w:r>
    </w:p>
  </w:footnote>
  <w:footnote w:type="continuationSeparator" w:id="0">
    <w:p w:rsidR="005D7090" w:rsidRDefault="005D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CEE" w:rsidRDefault="005D70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068139"/>
      <w:docPartObj>
        <w:docPartGallery w:val="Watermarks"/>
        <w:docPartUnique/>
      </w:docPartObj>
    </w:sdtPr>
    <w:sdtEndPr/>
    <w:sdtContent>
      <w:p w:rsidR="00782CEE" w:rsidRDefault="005D709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028595" o:spid="_x0000_s2049" type="#_x0000_t136" style="position:absolute;margin-left:0;margin-top:0;width:502.5pt;height:215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CEE" w:rsidRDefault="005D70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66483"/>
    <w:multiLevelType w:val="hybridMultilevel"/>
    <w:tmpl w:val="6C4ACCFC"/>
    <w:lvl w:ilvl="0" w:tplc="6D609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E6"/>
    <w:rsid w:val="003C61D9"/>
    <w:rsid w:val="00435317"/>
    <w:rsid w:val="005D7090"/>
    <w:rsid w:val="006D5EE3"/>
    <w:rsid w:val="00715389"/>
    <w:rsid w:val="009F287A"/>
    <w:rsid w:val="00AF18DE"/>
    <w:rsid w:val="00B040E6"/>
    <w:rsid w:val="00D4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200DED-8E1F-4EA5-B4E1-990D3C30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dr">
    <w:name w:val="s_hdr"/>
    <w:basedOn w:val="DefaultParagraphFont"/>
    <w:rsid w:val="00B040E6"/>
  </w:style>
  <w:style w:type="character" w:styleId="Hyperlink">
    <w:name w:val="Hyperlink"/>
    <w:basedOn w:val="DefaultParagraphFont"/>
    <w:uiPriority w:val="99"/>
    <w:semiHidden/>
    <w:unhideWhenUsed/>
    <w:rsid w:val="00B040E6"/>
    <w:rPr>
      <w:color w:val="0000FF"/>
      <w:u w:val="single"/>
    </w:rPr>
  </w:style>
  <w:style w:type="character" w:customStyle="1" w:styleId="slgi">
    <w:name w:val="s_lgi"/>
    <w:basedOn w:val="DefaultParagraphFont"/>
    <w:rsid w:val="00B040E6"/>
  </w:style>
  <w:style w:type="character" w:customStyle="1" w:styleId="spar">
    <w:name w:val="s_par"/>
    <w:basedOn w:val="DefaultParagraphFont"/>
    <w:rsid w:val="00B040E6"/>
  </w:style>
  <w:style w:type="paragraph" w:styleId="Header">
    <w:name w:val="header"/>
    <w:basedOn w:val="Normal"/>
    <w:link w:val="HeaderChar"/>
    <w:uiPriority w:val="99"/>
    <w:unhideWhenUsed/>
    <w:rsid w:val="00B0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0E6"/>
  </w:style>
  <w:style w:type="paragraph" w:styleId="Footer">
    <w:name w:val="footer"/>
    <w:basedOn w:val="Normal"/>
    <w:link w:val="FooterChar"/>
    <w:uiPriority w:val="99"/>
    <w:unhideWhenUsed/>
    <w:rsid w:val="00B0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0E6"/>
  </w:style>
  <w:style w:type="paragraph" w:styleId="ListParagraph">
    <w:name w:val="List Paragraph"/>
    <w:basedOn w:val="Normal"/>
    <w:uiPriority w:val="34"/>
    <w:qFormat/>
    <w:rsid w:val="00B04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03414" TargetMode="External"/><Relationship Id="rId13" Type="http://schemas.openxmlformats.org/officeDocument/2006/relationships/hyperlink" Target="http://legislatie.just.ro/Public/DetaliiDocumentAfis/203414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://legislatie.just.ro/Public/DetaliiDocumentAfis/20341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legislatie.just.ro/Public/DetaliiDocumentAfis/203414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islatie.just.ro/Public/DetaliiDocumentAfis/20341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egislatie.just.ro/Public/DetaliiDocumentAfis/20341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egislatie.just.ro/Public/DetaliiDocumentAfis/20341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islatie.just.ro/Public/DetaliiDocumentAfis/203414" TargetMode="External"/><Relationship Id="rId14" Type="http://schemas.openxmlformats.org/officeDocument/2006/relationships/hyperlink" Target="http://legislatie.just.ro/Public/DetaliiDocumentAfis/203414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2</cp:revision>
  <dcterms:created xsi:type="dcterms:W3CDTF">2020-12-08T13:10:00Z</dcterms:created>
  <dcterms:modified xsi:type="dcterms:W3CDTF">2020-12-08T13:32:00Z</dcterms:modified>
</cp:coreProperties>
</file>