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C1" w:rsidRPr="00053F5E" w:rsidRDefault="00EF31C1" w:rsidP="00EF31C1">
      <w:pPr>
        <w:tabs>
          <w:tab w:val="left" w:pos="851"/>
        </w:tabs>
        <w:autoSpaceDE w:val="0"/>
        <w:autoSpaceDN w:val="0"/>
        <w:spacing w:after="0" w:line="240" w:lineRule="auto"/>
        <w:ind w:left="-426" w:right="-22" w:firstLine="71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 w:eastAsia="ar-SA"/>
        </w:rPr>
      </w:pPr>
      <w:r w:rsidRPr="00053F5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 w:eastAsia="ar-SA"/>
        </w:rPr>
        <w:t>MINISTERUL MEDIULUI, APELOR  ŞI PĂDURILOR</w:t>
      </w:r>
    </w:p>
    <w:p w:rsidR="00EF31C1" w:rsidRPr="00053F5E" w:rsidRDefault="00EF31C1" w:rsidP="00EF31C1">
      <w:pPr>
        <w:tabs>
          <w:tab w:val="left" w:pos="851"/>
        </w:tabs>
        <w:autoSpaceDE w:val="0"/>
        <w:autoSpaceDN w:val="0"/>
        <w:spacing w:after="0" w:line="240" w:lineRule="auto"/>
        <w:ind w:left="-426" w:right="-22" w:firstLine="71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val="ro-RO"/>
        </w:rPr>
      </w:pPr>
      <w:r w:rsidRPr="00053F5E">
        <w:rPr>
          <w:rFonts w:ascii="Times New Roman" w:eastAsia="Verdana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E1AF3D" wp14:editId="700C9CFC">
            <wp:simplePos x="0" y="0"/>
            <wp:positionH relativeFrom="column">
              <wp:posOffset>2980020</wp:posOffset>
            </wp:positionH>
            <wp:positionV relativeFrom="paragraph">
              <wp:posOffset>150495</wp:posOffset>
            </wp:positionV>
            <wp:extent cx="677545" cy="914400"/>
            <wp:effectExtent l="0" t="0" r="8255" b="0"/>
            <wp:wrapSquare wrapText="right"/>
            <wp:docPr id="2" name="Picture 2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3F5E">
        <w:rPr>
          <w:rFonts w:ascii="Times New Roman" w:eastAsia="Verdana" w:hAnsi="Times New Roman" w:cs="Times New Roman"/>
          <w:b/>
          <w:noProof/>
          <w:color w:val="000000" w:themeColor="text1"/>
          <w:sz w:val="24"/>
          <w:szCs w:val="24"/>
          <w:lang w:val="ro-RO"/>
        </w:rPr>
        <w:t xml:space="preserve"> </w:t>
      </w:r>
    </w:p>
    <w:p w:rsidR="00EF31C1" w:rsidRPr="00053F5E" w:rsidRDefault="00EF31C1" w:rsidP="00EF31C1">
      <w:pPr>
        <w:tabs>
          <w:tab w:val="left" w:pos="851"/>
        </w:tabs>
        <w:autoSpaceDE w:val="0"/>
        <w:autoSpaceDN w:val="0"/>
        <w:spacing w:after="0" w:line="240" w:lineRule="auto"/>
        <w:ind w:left="-426" w:right="-22" w:firstLine="71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EF31C1" w:rsidRPr="00053F5E" w:rsidRDefault="00EF31C1" w:rsidP="00EF31C1">
      <w:pPr>
        <w:tabs>
          <w:tab w:val="left" w:pos="851"/>
        </w:tabs>
        <w:autoSpaceDE w:val="0"/>
        <w:autoSpaceDN w:val="0"/>
        <w:spacing w:after="0" w:line="240" w:lineRule="auto"/>
        <w:ind w:left="-426" w:right="-22" w:firstLine="71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EF31C1" w:rsidRPr="00053F5E" w:rsidRDefault="00EF31C1" w:rsidP="00EF31C1">
      <w:pPr>
        <w:tabs>
          <w:tab w:val="left" w:pos="851"/>
        </w:tabs>
        <w:autoSpaceDE w:val="0"/>
        <w:autoSpaceDN w:val="0"/>
        <w:spacing w:after="0" w:line="240" w:lineRule="auto"/>
        <w:ind w:left="-426" w:right="-22" w:firstLine="71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EF31C1" w:rsidRPr="00053F5E" w:rsidRDefault="00EF31C1" w:rsidP="00EF31C1">
      <w:pPr>
        <w:tabs>
          <w:tab w:val="left" w:pos="851"/>
        </w:tabs>
        <w:autoSpaceDE w:val="0"/>
        <w:autoSpaceDN w:val="0"/>
        <w:spacing w:after="0" w:line="240" w:lineRule="auto"/>
        <w:ind w:left="-426" w:right="-22" w:firstLine="71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EF31C1" w:rsidRPr="00053F5E" w:rsidRDefault="00EF31C1" w:rsidP="00EF31C1">
      <w:pPr>
        <w:tabs>
          <w:tab w:val="left" w:pos="851"/>
          <w:tab w:val="left" w:pos="4395"/>
        </w:tabs>
        <w:spacing w:after="0" w:line="240" w:lineRule="auto"/>
        <w:ind w:left="-426" w:right="-22" w:firstLine="710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:rsidR="00EF31C1" w:rsidRPr="00053F5E" w:rsidRDefault="00EF31C1" w:rsidP="00EF31C1">
      <w:pPr>
        <w:tabs>
          <w:tab w:val="left" w:pos="851"/>
          <w:tab w:val="left" w:pos="4395"/>
        </w:tabs>
        <w:spacing w:after="0" w:line="240" w:lineRule="auto"/>
        <w:ind w:left="-426" w:right="-22" w:firstLine="710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:rsidR="00EF31C1" w:rsidRPr="00053F5E" w:rsidRDefault="00EF31C1" w:rsidP="00EF31C1">
      <w:pPr>
        <w:tabs>
          <w:tab w:val="left" w:pos="851"/>
          <w:tab w:val="left" w:pos="4395"/>
        </w:tabs>
        <w:spacing w:after="0" w:line="240" w:lineRule="auto"/>
        <w:ind w:left="-426" w:right="-22" w:firstLine="710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053F5E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ORDIN</w:t>
      </w:r>
    </w:p>
    <w:p w:rsidR="00EF31C1" w:rsidRPr="00053F5E" w:rsidRDefault="00EF31C1" w:rsidP="00EF31C1">
      <w:pPr>
        <w:tabs>
          <w:tab w:val="left" w:pos="851"/>
          <w:tab w:val="left" w:pos="4395"/>
        </w:tabs>
        <w:spacing w:after="0" w:line="240" w:lineRule="auto"/>
        <w:ind w:left="-426" w:right="-22" w:firstLine="710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:rsidR="00EF31C1" w:rsidRPr="00053F5E" w:rsidRDefault="00EF31C1" w:rsidP="00EF31C1">
      <w:pPr>
        <w:tabs>
          <w:tab w:val="left" w:pos="851"/>
        </w:tabs>
        <w:spacing w:after="0" w:line="240" w:lineRule="auto"/>
        <w:ind w:left="-426" w:right="-22" w:firstLine="710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053F5E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ro-RO"/>
        </w:rPr>
        <w:t>Nr. .............din ......................2023</w:t>
      </w:r>
    </w:p>
    <w:p w:rsidR="00EF31C1" w:rsidRPr="00053F5E" w:rsidRDefault="00EF31C1" w:rsidP="00EF31C1">
      <w:pPr>
        <w:tabs>
          <w:tab w:val="left" w:pos="851"/>
        </w:tabs>
        <w:spacing w:after="0" w:line="240" w:lineRule="auto"/>
        <w:ind w:left="-426" w:right="-22" w:firstLine="710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16"/>
          <w:szCs w:val="16"/>
          <w:lang w:val="ro-RO"/>
        </w:rPr>
      </w:pPr>
    </w:p>
    <w:p w:rsidR="00EF31C1" w:rsidRPr="00EF31C1" w:rsidRDefault="00EF31C1" w:rsidP="00EF31C1">
      <w:pPr>
        <w:spacing w:after="0" w:line="240" w:lineRule="auto"/>
        <w:ind w:left="-426" w:right="-22" w:firstLine="71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</w:pPr>
      <w:r w:rsidRPr="00EF31C1"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pentru completarea </w:t>
      </w:r>
      <w:r w:rsidR="003E4FB2" w:rsidRPr="00EF31C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ro-RO"/>
        </w:rPr>
        <w:t>Ordinul ministrului apelor și pădurilor nr. 766/2018</w:t>
      </w:r>
      <w:r w:rsidR="003E4FB2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pentru aprobarea </w:t>
      </w:r>
      <w:r w:rsidRPr="00EF31C1"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Normel</w:t>
      </w:r>
      <w:r w:rsidR="00CF18F7"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or</w:t>
      </w:r>
      <w:r w:rsidRPr="00EF31C1">
        <w:rPr>
          <w:rFonts w:ascii="Times New Roman" w:eastAsiaTheme="minorEastAsia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tehnice  </w:t>
      </w:r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privind </w:t>
      </w:r>
      <w:proofErr w:type="spellStart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elaborarea</w:t>
      </w:r>
      <w:proofErr w:type="spellEnd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amenajamentelor</w:t>
      </w:r>
      <w:proofErr w:type="spellEnd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silvice</w:t>
      </w:r>
      <w:proofErr w:type="spellEnd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modificarea</w:t>
      </w:r>
      <w:proofErr w:type="spellEnd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prevederilor</w:t>
      </w:r>
      <w:proofErr w:type="spellEnd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acestora</w:t>
      </w:r>
      <w:proofErr w:type="spellEnd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schimbarea</w:t>
      </w:r>
      <w:proofErr w:type="spellEnd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categoriei</w:t>
      </w:r>
      <w:proofErr w:type="spellEnd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terenurilor</w:t>
      </w:r>
      <w:proofErr w:type="spellEnd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fondul</w:t>
      </w:r>
      <w:proofErr w:type="spellEnd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31C1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forestier</w:t>
      </w:r>
      <w:proofErr w:type="spellEnd"/>
      <w:r w:rsidR="003E4FB2">
        <w:rPr>
          <w:rStyle w:val="shdr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E4FB2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ro-RO"/>
        </w:rPr>
        <w:t>și a Metodologiei privind aprobarea depășirii posibilității/posibilității anuale în vederea recoltării produselor accidentale I</w:t>
      </w:r>
      <w:r w:rsidRPr="00EF31C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</w:p>
    <w:p w:rsidR="00EF31C1" w:rsidRPr="00053F5E" w:rsidRDefault="00EF31C1" w:rsidP="00EF31C1">
      <w:pPr>
        <w:spacing w:after="0" w:line="240" w:lineRule="auto"/>
        <w:ind w:left="-426" w:right="-22" w:firstLine="7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:rsidR="00EF31C1" w:rsidRPr="00053F5E" w:rsidRDefault="00EF31C1" w:rsidP="00EF31C1">
      <w:pPr>
        <w:spacing w:after="0" w:line="240" w:lineRule="auto"/>
        <w:ind w:left="-426" w:right="-22" w:firstLine="71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12"/>
          <w:szCs w:val="12"/>
          <w:lang w:val="ro-RO"/>
        </w:rPr>
      </w:pPr>
    </w:p>
    <w:p w:rsidR="00EF31C1" w:rsidRPr="00053F5E" w:rsidRDefault="00EF31C1" w:rsidP="00EF31C1">
      <w:pPr>
        <w:spacing w:line="240" w:lineRule="auto"/>
        <w:ind w:left="-426" w:right="-22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05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Având în vedere Referatul de aprobare </w:t>
      </w:r>
      <w:r w:rsidR="008A1FF3" w:rsidRPr="0005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nr. DGPSS</w:t>
      </w:r>
      <w:r w:rsidR="008A1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EB3DC4" w:rsidRPr="00682DC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</w:t>
      </w:r>
      <w:r w:rsidR="00EB3DC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32951</w:t>
      </w:r>
      <w:r w:rsidR="00EB3DC4" w:rsidRPr="00682DC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/</w:t>
      </w:r>
      <w:r w:rsidR="00EB3DC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03.10.</w:t>
      </w:r>
      <w:r w:rsidR="00EB3DC4" w:rsidRPr="00682DC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202</w:t>
      </w:r>
      <w:r w:rsidR="00EB3DC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</w:t>
      </w:r>
      <w:r w:rsidR="00EB3DC4" w:rsidRPr="00682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bookmarkStart w:id="0" w:name="_GoBack"/>
      <w:bookmarkEnd w:id="0"/>
      <w:r w:rsidRPr="0005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al </w:t>
      </w:r>
      <w:proofErr w:type="spellStart"/>
      <w:r w:rsidRPr="0005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Direcţiei</w:t>
      </w:r>
      <w:proofErr w:type="spellEnd"/>
      <w:r w:rsidRPr="00053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Generale Păduri și Strategii în Silvicultură, </w:t>
      </w:r>
    </w:p>
    <w:p w:rsidR="008A1FF3" w:rsidRDefault="00A61696" w:rsidP="00A61696">
      <w:pPr>
        <w:autoSpaceDE w:val="0"/>
        <w:autoSpaceDN w:val="0"/>
        <w:spacing w:line="240" w:lineRule="auto"/>
        <w:ind w:left="-426" w:right="-2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proofErr w:type="spellStart"/>
      <w:r w:rsidR="008A1FF3">
        <w:rPr>
          <w:rFonts w:ascii="Times New Roman" w:hAnsi="Times New Roman" w:cs="Times New Roman"/>
          <w:sz w:val="24"/>
          <w:szCs w:val="24"/>
          <w:shd w:val="clear" w:color="auto" w:fill="FFFFFF"/>
        </w:rPr>
        <w:t>Ținând</w:t>
      </w:r>
      <w:proofErr w:type="spellEnd"/>
      <w:r w:rsidR="008A1F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1FF3">
        <w:rPr>
          <w:rFonts w:ascii="Times New Roman" w:hAnsi="Times New Roman" w:cs="Times New Roman"/>
          <w:sz w:val="24"/>
          <w:szCs w:val="24"/>
          <w:shd w:val="clear" w:color="auto" w:fill="FFFFFF"/>
        </w:rPr>
        <w:t>seama</w:t>
      </w:r>
      <w:proofErr w:type="spellEnd"/>
      <w:r w:rsidR="008A1F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8A1FF3">
        <w:rPr>
          <w:rFonts w:ascii="Times New Roman" w:hAnsi="Times New Roman" w:cs="Times New Roman"/>
          <w:sz w:val="24"/>
          <w:szCs w:val="24"/>
          <w:shd w:val="clear" w:color="auto" w:fill="FFFFFF"/>
        </w:rPr>
        <w:t>prevedrile</w:t>
      </w:r>
      <w:proofErr w:type="spellEnd"/>
      <w:r w:rsidR="008A1F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Pr="00A61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art. 20 </w:t>
        </w:r>
        <w:proofErr w:type="spellStart"/>
        <w:r w:rsidRPr="00A61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Pr="00A61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(2)</w:t>
        </w:r>
        <w:proofErr w:type="gramStart"/>
        <w:r w:rsidRPr="00A61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,</w:t>
        </w:r>
        <w:proofErr w:type="gramEnd"/>
      </w:hyperlink>
      <w:hyperlink r:id="rId10" w:history="1">
        <w:r w:rsidRPr="00A61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(4)</w:t>
        </w:r>
      </w:hyperlink>
      <w:r w:rsidRPr="00A6169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A61696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A6169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anchor="A204" w:history="1">
        <w:r w:rsidRPr="00A61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(6)</w:t>
        </w:r>
      </w:hyperlink>
      <w:r w:rsidRPr="00A6169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2" w:anchor="A218" w:history="1">
        <w:r w:rsidRPr="00A61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art. 22</w:t>
        </w:r>
      </w:hyperlink>
      <w:r w:rsidRPr="00A6169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3" w:anchor="A225" w:history="1">
        <w:r w:rsidRPr="00A61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24</w:t>
        </w:r>
      </w:hyperlink>
      <w:r w:rsidRPr="00A6169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4" w:anchor="A83290037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art. 59 </w:t>
        </w:r>
        <w:proofErr w:type="spellStart"/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proofErr w:type="gramStart"/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  <w:r w:rsidRPr="00A61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(</w:t>
        </w:r>
        <w:proofErr w:type="gramEnd"/>
        <w:r w:rsidRPr="00A61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6)</w:t>
        </w:r>
      </w:hyperlink>
      <w:r w:rsidRPr="00A6169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hyperlink r:id="rId15" w:history="1">
        <w:r w:rsidRPr="00A61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(6</w:t>
        </w:r>
        <w:r w:rsidRPr="00A61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vertAlign w:val="superscript"/>
          </w:rPr>
          <w:t>1</w:t>
        </w:r>
        <w:r w:rsidRPr="00A61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),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A61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(6</w:t>
        </w:r>
        <w:r w:rsidRPr="00A61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vertAlign w:val="superscript"/>
          </w:rPr>
          <w:t>2</w:t>
        </w:r>
        <w:r w:rsidRPr="00A61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) </w:t>
        </w:r>
        <w:proofErr w:type="spellStart"/>
      </w:hyperlink>
      <w:r w:rsidRPr="00A61696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A6169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history="1">
        <w:r w:rsidRPr="00A61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(10)</w:t>
        </w:r>
      </w:hyperlink>
      <w:r w:rsidRPr="00A6169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A61696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A6169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history="1">
        <w:r w:rsidRPr="00A61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art. 115 din Legea </w:t>
        </w:r>
        <w:proofErr w:type="spellStart"/>
        <w:r w:rsidRPr="00A61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nr</w:t>
        </w:r>
        <w:proofErr w:type="spellEnd"/>
        <w:r w:rsidRPr="00A61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. 46/2008 - </w:t>
        </w:r>
        <w:proofErr w:type="spellStart"/>
        <w:r w:rsidRPr="00A61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Codul</w:t>
        </w:r>
        <w:proofErr w:type="spellEnd"/>
        <w:r w:rsidRPr="00A61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silvic, </w:t>
        </w:r>
        <w:proofErr w:type="spellStart"/>
        <w:r w:rsidRPr="00A616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republicată</w:t>
        </w:r>
        <w:proofErr w:type="spellEnd"/>
      </w:hyperlink>
      <w:r w:rsidRPr="00A61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cu </w:t>
      </w:r>
      <w:proofErr w:type="spellStart"/>
      <w:r w:rsidRPr="00A61696">
        <w:rPr>
          <w:rFonts w:ascii="Times New Roman" w:hAnsi="Times New Roman" w:cs="Times New Roman"/>
          <w:sz w:val="24"/>
          <w:szCs w:val="24"/>
          <w:shd w:val="clear" w:color="auto" w:fill="FFFFFF"/>
        </w:rPr>
        <w:t>modificările</w:t>
      </w:r>
      <w:proofErr w:type="spellEnd"/>
      <w:r w:rsidRPr="00A61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1696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A61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1696">
        <w:rPr>
          <w:rFonts w:ascii="Times New Roman" w:hAnsi="Times New Roman" w:cs="Times New Roman"/>
          <w:sz w:val="24"/>
          <w:szCs w:val="24"/>
          <w:shd w:val="clear" w:color="auto" w:fill="FFFFFF"/>
        </w:rPr>
        <w:t>completările</w:t>
      </w:r>
      <w:proofErr w:type="spellEnd"/>
      <w:r w:rsidRPr="00A616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1696">
        <w:rPr>
          <w:rFonts w:ascii="Times New Roman" w:hAnsi="Times New Roman" w:cs="Times New Roman"/>
          <w:sz w:val="24"/>
          <w:szCs w:val="24"/>
          <w:shd w:val="clear" w:color="auto" w:fill="FFFFFF"/>
        </w:rPr>
        <w:t>ulterioare</w:t>
      </w:r>
      <w:proofErr w:type="spellEnd"/>
      <w:r w:rsidRPr="00A6169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F31C1" w:rsidRPr="00A61696" w:rsidRDefault="008A1FF3" w:rsidP="00A61696">
      <w:pPr>
        <w:autoSpaceDE w:val="0"/>
        <w:autoSpaceDN w:val="0"/>
        <w:spacing w:line="240" w:lineRule="auto"/>
        <w:ind w:left="-426" w:right="-22"/>
        <w:jc w:val="both"/>
        <w:rPr>
          <w:rFonts w:ascii="Times New Roman" w:eastAsia="Verdana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În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prevedrilor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31C1" w:rsidRPr="00A61696">
        <w:rPr>
          <w:rFonts w:ascii="Times New Roman" w:eastAsia="Verdana" w:hAnsi="Times New Roman" w:cs="Times New Roman"/>
          <w:sz w:val="24"/>
          <w:szCs w:val="24"/>
          <w:lang w:val="ro-RO"/>
        </w:rPr>
        <w:t>art. 57 alin. (1), (4) și (5) din Ordonanța de urgență a Guvernului nr. 57/2019 privind Codul administrativ, cu modificările și completările ulterioare,</w:t>
      </w:r>
      <w:r w:rsidR="00EF31C1" w:rsidRPr="00A61696">
        <w:rPr>
          <w:rFonts w:ascii="Times New Roman" w:eastAsia="Verdana" w:hAnsi="Times New Roman" w:cs="Times New Roman"/>
          <w:bCs/>
          <w:sz w:val="24"/>
          <w:szCs w:val="24"/>
          <w:lang w:val="ro-RO"/>
        </w:rPr>
        <w:t xml:space="preserve"> </w:t>
      </w:r>
      <w:r w:rsidR="00EF31C1" w:rsidRPr="00A61696">
        <w:rPr>
          <w:rFonts w:ascii="Times New Roman" w:eastAsia="Verdana" w:hAnsi="Times New Roman" w:cs="Times New Roman"/>
          <w:sz w:val="24"/>
          <w:szCs w:val="24"/>
          <w:lang w:val="ro-RO"/>
        </w:rPr>
        <w:t>precum și</w:t>
      </w:r>
      <w:r w:rsidR="00EF31C1" w:rsidRPr="00A61696">
        <w:rPr>
          <w:rFonts w:ascii="Times New Roman" w:eastAsia="Verdana" w:hAnsi="Times New Roman" w:cs="Times New Roman"/>
          <w:bCs/>
          <w:sz w:val="24"/>
          <w:szCs w:val="24"/>
          <w:lang w:val="ro-RO"/>
        </w:rPr>
        <w:t xml:space="preserve"> al art. 13 alin. (4) din Hotărârea Guvernului nr. 43/2020 privind organizarea </w:t>
      </w:r>
      <w:proofErr w:type="spellStart"/>
      <w:r w:rsidR="00EF31C1" w:rsidRPr="00A61696">
        <w:rPr>
          <w:rFonts w:ascii="Times New Roman" w:eastAsia="Verdana" w:hAnsi="Times New Roman" w:cs="Times New Roman"/>
          <w:bCs/>
          <w:sz w:val="24"/>
          <w:szCs w:val="24"/>
          <w:lang w:val="ro-RO"/>
        </w:rPr>
        <w:t>şi</w:t>
      </w:r>
      <w:proofErr w:type="spellEnd"/>
      <w:r w:rsidR="00EF31C1" w:rsidRPr="00A61696">
        <w:rPr>
          <w:rFonts w:ascii="Times New Roman" w:eastAsia="Verdana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="00EF31C1" w:rsidRPr="00A61696">
        <w:rPr>
          <w:rFonts w:ascii="Times New Roman" w:eastAsia="Verdana" w:hAnsi="Times New Roman" w:cs="Times New Roman"/>
          <w:bCs/>
          <w:sz w:val="24"/>
          <w:szCs w:val="24"/>
          <w:lang w:val="ro-RO"/>
        </w:rPr>
        <w:t>funcţionarea</w:t>
      </w:r>
      <w:proofErr w:type="spellEnd"/>
      <w:r w:rsidR="00EF31C1" w:rsidRPr="00A61696">
        <w:rPr>
          <w:rFonts w:ascii="Times New Roman" w:eastAsia="Verdana" w:hAnsi="Times New Roman" w:cs="Times New Roman"/>
          <w:bCs/>
          <w:sz w:val="24"/>
          <w:szCs w:val="24"/>
          <w:lang w:val="ro-RO"/>
        </w:rPr>
        <w:t xml:space="preserve"> Ministerului Mediului, Apelor </w:t>
      </w:r>
      <w:proofErr w:type="spellStart"/>
      <w:r w:rsidR="00EF31C1" w:rsidRPr="00A61696">
        <w:rPr>
          <w:rFonts w:ascii="Times New Roman" w:eastAsia="Verdana" w:hAnsi="Times New Roman" w:cs="Times New Roman"/>
          <w:bCs/>
          <w:sz w:val="24"/>
          <w:szCs w:val="24"/>
          <w:lang w:val="ro-RO"/>
        </w:rPr>
        <w:t>şi</w:t>
      </w:r>
      <w:proofErr w:type="spellEnd"/>
      <w:r w:rsidR="00EF31C1" w:rsidRPr="00A61696">
        <w:rPr>
          <w:rFonts w:ascii="Times New Roman" w:eastAsia="Verdana" w:hAnsi="Times New Roman" w:cs="Times New Roman"/>
          <w:bCs/>
          <w:sz w:val="24"/>
          <w:szCs w:val="24"/>
          <w:lang w:val="ro-RO"/>
        </w:rPr>
        <w:t xml:space="preserve"> Pădurilor, cu modificările și completările ulterioare,</w:t>
      </w:r>
    </w:p>
    <w:p w:rsidR="00EF31C1" w:rsidRPr="00A61696" w:rsidRDefault="00EF31C1" w:rsidP="00EF31C1">
      <w:pPr>
        <w:tabs>
          <w:tab w:val="left" w:pos="851"/>
        </w:tabs>
        <w:spacing w:after="0" w:line="240" w:lineRule="auto"/>
        <w:ind w:left="-426" w:right="-22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6169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ministrul  mediului, apelor </w:t>
      </w:r>
      <w:proofErr w:type="spellStart"/>
      <w:r w:rsidRPr="00A6169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A6169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pădurilor </w:t>
      </w:r>
      <w:r w:rsidRPr="00A61696">
        <w:rPr>
          <w:rFonts w:ascii="Times New Roman" w:eastAsia="Times New Roman" w:hAnsi="Times New Roman" w:cs="Times New Roman"/>
          <w:sz w:val="24"/>
          <w:szCs w:val="24"/>
          <w:lang w:val="ro-RO"/>
        </w:rPr>
        <w:t>emite următorul</w:t>
      </w:r>
    </w:p>
    <w:p w:rsidR="00EF31C1" w:rsidRPr="00053F5E" w:rsidRDefault="00EF31C1" w:rsidP="00EF31C1">
      <w:pPr>
        <w:tabs>
          <w:tab w:val="left" w:pos="851"/>
        </w:tabs>
        <w:autoSpaceDE w:val="0"/>
        <w:autoSpaceDN w:val="0"/>
        <w:spacing w:after="0" w:line="240" w:lineRule="auto"/>
        <w:ind w:left="-426" w:right="-22" w:firstLine="710"/>
        <w:jc w:val="both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EF31C1" w:rsidRPr="00053F5E" w:rsidRDefault="00EF31C1" w:rsidP="00EF31C1">
      <w:pPr>
        <w:tabs>
          <w:tab w:val="left" w:pos="851"/>
        </w:tabs>
        <w:autoSpaceDE w:val="0"/>
        <w:autoSpaceDN w:val="0"/>
        <w:spacing w:after="0" w:line="240" w:lineRule="auto"/>
        <w:ind w:left="-426" w:right="-22" w:firstLine="710"/>
        <w:jc w:val="center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val="ro-RO"/>
        </w:rPr>
      </w:pPr>
      <w:r w:rsidRPr="00053F5E">
        <w:rPr>
          <w:rFonts w:ascii="Times New Roman" w:eastAsia="Verdana" w:hAnsi="Times New Roman" w:cs="Times New Roman"/>
          <w:b/>
          <w:color w:val="000000" w:themeColor="text1"/>
          <w:sz w:val="24"/>
          <w:szCs w:val="24"/>
          <w:lang w:val="ro-RO"/>
        </w:rPr>
        <w:t>ORDIN:</w:t>
      </w:r>
    </w:p>
    <w:p w:rsidR="00EF31C1" w:rsidRPr="00053F5E" w:rsidRDefault="00EF31C1" w:rsidP="00EF31C1">
      <w:pPr>
        <w:autoSpaceDE w:val="0"/>
        <w:autoSpaceDN w:val="0"/>
        <w:spacing w:after="0" w:line="240" w:lineRule="auto"/>
        <w:ind w:left="-426" w:right="-22" w:firstLine="71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lang w:val="ro-RO"/>
        </w:rPr>
      </w:pPr>
    </w:p>
    <w:p w:rsidR="00EF31C1" w:rsidRPr="00F92DD6" w:rsidRDefault="00EF31C1" w:rsidP="00F92DD6">
      <w:pPr>
        <w:spacing w:after="0" w:line="240" w:lineRule="auto"/>
        <w:ind w:left="-426" w:right="-22" w:firstLine="710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ro-RO"/>
        </w:rPr>
      </w:pPr>
      <w:r w:rsidRPr="00053F5E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ro-RO"/>
        </w:rPr>
        <w:t>Art. I.</w:t>
      </w:r>
      <w:r w:rsidRPr="00053F5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ro-RO"/>
        </w:rPr>
        <w:t xml:space="preserve"> - </w:t>
      </w:r>
      <w:r w:rsidR="003E4FB2" w:rsidRPr="003E4FB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o-RO"/>
        </w:rPr>
        <w:t xml:space="preserve">Ordinul ministrului apelor și pădurilor nr. 766/2018 pentru aprobarea </w:t>
      </w:r>
      <w:r w:rsidR="003E4FB2" w:rsidRPr="003E4FB2">
        <w:rPr>
          <w:rFonts w:ascii="Times New Roman" w:eastAsiaTheme="minorEastAsia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Normelor tehnice  </w:t>
      </w:r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privind </w:t>
      </w:r>
      <w:proofErr w:type="spellStart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elaborarea</w:t>
      </w:r>
      <w:proofErr w:type="spellEnd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amenajamentelor</w:t>
      </w:r>
      <w:proofErr w:type="spellEnd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silvice</w:t>
      </w:r>
      <w:proofErr w:type="spellEnd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modificarea</w:t>
      </w:r>
      <w:proofErr w:type="spellEnd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prevederilor</w:t>
      </w:r>
      <w:proofErr w:type="spellEnd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acestora</w:t>
      </w:r>
      <w:proofErr w:type="spellEnd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schimbarea</w:t>
      </w:r>
      <w:proofErr w:type="spellEnd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categoriei</w:t>
      </w:r>
      <w:proofErr w:type="spellEnd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terenurilor</w:t>
      </w:r>
      <w:proofErr w:type="spellEnd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fondul</w:t>
      </w:r>
      <w:proofErr w:type="spellEnd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forestier</w:t>
      </w:r>
      <w:proofErr w:type="spellEnd"/>
      <w:r w:rsidR="003E4FB2" w:rsidRPr="003E4FB2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E4FB2" w:rsidRPr="003E4FB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o-RO"/>
        </w:rPr>
        <w:t>și a Metodologiei privind aprobarea depășirii posibilității/posibilității anuale în vederea recoltării produselor accidentale I</w:t>
      </w:r>
      <w:r w:rsidR="003E4FB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o-RO"/>
        </w:rPr>
        <w:t>,</w:t>
      </w:r>
      <w:r w:rsidR="00A61696" w:rsidRPr="00F92DD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o-RO"/>
        </w:rPr>
        <w:t xml:space="preserve"> publicat în </w:t>
      </w:r>
      <w:r w:rsidRPr="00F92DD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Monitorul Oficial al României, Partea I </w:t>
      </w:r>
      <w:r w:rsidRPr="00F92DD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ro-RO"/>
        </w:rPr>
        <w:t xml:space="preserve">nr. </w:t>
      </w:r>
      <w:r w:rsidR="00F92DD6" w:rsidRPr="00F92D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730</w:t>
      </w:r>
      <w:r w:rsidRPr="00F92D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din 2</w:t>
      </w:r>
      <w:r w:rsidR="00F92DD6" w:rsidRPr="00F92D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3 august</w:t>
      </w:r>
      <w:r w:rsidRPr="00F92D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 xml:space="preserve"> 20</w:t>
      </w:r>
      <w:r w:rsidR="00F92DD6" w:rsidRPr="00F92D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RO"/>
        </w:rPr>
        <w:t>18</w:t>
      </w:r>
      <w:r w:rsidRPr="00F92DD6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ro-RO"/>
        </w:rPr>
        <w:t>, cu modificările și completările ulterioare, se completează, după cum urmează:</w:t>
      </w:r>
    </w:p>
    <w:p w:rsidR="00EF31C1" w:rsidRPr="00053F5E" w:rsidRDefault="00EF31C1" w:rsidP="00EF31C1">
      <w:pPr>
        <w:spacing w:after="0" w:line="240" w:lineRule="auto"/>
        <w:ind w:left="-426" w:right="-22" w:firstLine="710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ro-RO"/>
        </w:rPr>
      </w:pPr>
    </w:p>
    <w:p w:rsidR="00EF31C1" w:rsidRPr="00053F5E" w:rsidRDefault="00EF31C1" w:rsidP="00EF31C1">
      <w:pPr>
        <w:pStyle w:val="ListParagraph"/>
        <w:numPr>
          <w:ilvl w:val="0"/>
          <w:numId w:val="1"/>
        </w:numPr>
        <w:spacing w:after="0" w:line="240" w:lineRule="auto"/>
        <w:ind w:left="-426" w:right="-2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</w:pPr>
      <w:r w:rsidRPr="00053F5E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  <w:t xml:space="preserve">La </w:t>
      </w:r>
      <w:r w:rsidR="003E4FB2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  <w:t xml:space="preserve">anexa nr. 1 </w:t>
      </w:r>
      <w:r w:rsidRPr="00053F5E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  <w:t>articolul</w:t>
      </w:r>
      <w:r w:rsidR="00F92DD6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  <w:t xml:space="preserve"> 2</w:t>
      </w:r>
      <w:r w:rsidR="003E4FB2" w:rsidRPr="003E4FB2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  <w:t xml:space="preserve"> </w:t>
      </w:r>
      <w:r w:rsidR="003E4FB2" w:rsidRPr="00053F5E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  <w:t>alineatul (1)</w:t>
      </w:r>
      <w:r w:rsidRPr="00053F5E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  <w:t xml:space="preserve">, după </w:t>
      </w:r>
      <w:r w:rsidR="00F92DD6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  <w:t xml:space="preserve">litera f) a </w:t>
      </w:r>
      <w:r w:rsidRPr="00053F5E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  <w:t>se introduc</w:t>
      </w:r>
      <w:r w:rsidR="00781762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  <w:t xml:space="preserve"> două</w:t>
      </w:r>
      <w:r w:rsidR="00F92DD6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  <w:t xml:space="preserve"> </w:t>
      </w:r>
      <w:r w:rsidRPr="00053F5E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  <w:t>no</w:t>
      </w:r>
      <w:r w:rsidR="00781762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  <w:t>i</w:t>
      </w:r>
      <w:r w:rsidRPr="00053F5E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  <w:t xml:space="preserve"> </w:t>
      </w:r>
      <w:r w:rsidR="00F92DD6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  <w:t>liter</w:t>
      </w:r>
      <w:r w:rsidR="00781762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  <w:t>e</w:t>
      </w:r>
      <w:r w:rsidR="00F92DD6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  <w:t>, lit. g</w:t>
      </w:r>
      <w:r w:rsidRPr="00053F5E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  <w:t>)</w:t>
      </w:r>
      <w:r w:rsidR="00781762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  <w:t xml:space="preserve"> și h)</w:t>
      </w:r>
      <w:r w:rsidRPr="00053F5E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  <w:t>, cu următorul cuprins:</w:t>
      </w:r>
    </w:p>
    <w:p w:rsidR="00781762" w:rsidRDefault="008A1FF3" w:rsidP="00EF31C1">
      <w:pPr>
        <w:spacing w:after="0" w:line="240" w:lineRule="auto"/>
        <w:ind w:left="-426" w:right="-22" w:firstLine="710"/>
        <w:jc w:val="both"/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92DD6" w:rsidRPr="00781762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EF31C1" w:rsidRPr="00781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proofErr w:type="gram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arborii</w:t>
      </w:r>
      <w:proofErr w:type="spellEnd"/>
      <w:proofErr w:type="gram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afectați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factori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destabilizatori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biotici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abiotici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dintr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-un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arboret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concentrați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suprafață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compactă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mare de 0,5 ha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situația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extragerea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arborilor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afectați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factori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destabilizatori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biotici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abiotici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determină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încadrarea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arboretelor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urgența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1 de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regenerare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Încadrarea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arboretelor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urgența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1 de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regenerare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stabilește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unitate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specializată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atestată</w:t>
      </w:r>
      <w:proofErr w:type="spellEnd"/>
      <w:r w:rsidR="0075059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lucrări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amenajare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pădurilor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Volumul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arborilor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afectați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factori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destabilizatori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biotici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abiotici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suprafețe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compacte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mari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0</w:t>
      </w:r>
      <w:proofErr w:type="gram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,5</w:t>
      </w:r>
      <w:proofErr w:type="gram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ha se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poate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determina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75059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etodele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evaluare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volumului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lemn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rezultat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doborâturile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rupturile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produse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vânt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zăpadă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Doborâturi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masă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produse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vânt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zăpadă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"https://legislatie.just.ro/Public/DetaliiDocumentAfis/171770" </w:instrText>
      </w:r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="00750591" w:rsidRPr="00781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anexa</w:t>
      </w:r>
      <w:proofErr w:type="spellEnd"/>
      <w:r w:rsidR="00750591" w:rsidRPr="00781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nr</w:t>
      </w:r>
      <w:proofErr w:type="spellEnd"/>
      <w:r w:rsidR="00750591" w:rsidRPr="00781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9 la </w:t>
      </w:r>
      <w:proofErr w:type="spellStart"/>
      <w:r w:rsidR="00750591" w:rsidRPr="00781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Ordinul</w:t>
      </w:r>
      <w:proofErr w:type="spellEnd"/>
      <w:r w:rsidR="00750591" w:rsidRPr="00781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ministrului</w:t>
      </w:r>
      <w:proofErr w:type="spellEnd"/>
      <w:r w:rsidR="00750591" w:rsidRPr="00781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mediului</w:t>
      </w:r>
      <w:proofErr w:type="spellEnd"/>
      <w:r w:rsidR="00750591" w:rsidRPr="00781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50591" w:rsidRPr="00781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apelor</w:t>
      </w:r>
      <w:proofErr w:type="spellEnd"/>
      <w:r w:rsidR="00750591" w:rsidRPr="00781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și</w:t>
      </w:r>
      <w:proofErr w:type="spellEnd"/>
      <w:r w:rsidR="00750591" w:rsidRPr="00781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pădurilor</w:t>
      </w:r>
      <w:proofErr w:type="spellEnd"/>
      <w:r w:rsidR="00750591" w:rsidRPr="00781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nr</w:t>
      </w:r>
      <w:proofErr w:type="spellEnd"/>
      <w:r w:rsidR="00750591" w:rsidRPr="007817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 1.323/2015</w:t>
      </w:r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privind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metodelor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dendrometrice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evaluarea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volumului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lemn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destinat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valorificării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valorile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necesare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calculului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volumului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lemn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destinat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valorificării</w:t>
      </w:r>
      <w:proofErr w:type="spellEnd"/>
      <w:r w:rsidR="0075059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="0075059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urma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inventarierii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fir cu fir</w:t>
      </w:r>
      <w:r w:rsidR="0075059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5059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u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necesară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modificarea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prevederilor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amenajamentului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silvic </w:t>
      </w:r>
      <w:proofErr w:type="spellStart"/>
      <w:r w:rsidR="0075059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entru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suprafețele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peste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0</w:t>
      </w:r>
      <w:proofErr w:type="gram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,5</w:t>
      </w:r>
      <w:proofErr w:type="gram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ha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necesare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realizării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instalațiilor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scos-apropiat</w:t>
      </w:r>
      <w:proofErr w:type="spellEnd"/>
      <w:r w:rsidR="00781762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EF31C1" w:rsidRPr="00781762" w:rsidRDefault="00781762" w:rsidP="00EF31C1">
      <w:pPr>
        <w:spacing w:after="0" w:line="240" w:lineRule="auto"/>
        <w:ind w:left="-426" w:right="-22" w:firstLine="71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o-RO"/>
        </w:rPr>
      </w:pPr>
      <w:r w:rsidRPr="00781762">
        <w:rPr>
          <w:rStyle w:val="slitttl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h</w:t>
      </w:r>
      <w:r w:rsidRPr="00781762">
        <w:rPr>
          <w:rStyle w:val="slitttl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781762">
        <w:rPr>
          <w:rStyle w:val="slit"/>
          <w:rFonts w:ascii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autoriza</w:t>
      </w:r>
      <w:r w:rsidR="0075059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rea</w:t>
      </w:r>
      <w:proofErr w:type="spellEnd"/>
      <w:proofErr w:type="gramEnd"/>
      <w:r w:rsidR="0075059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spre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exploatare</w:t>
      </w:r>
      <w:proofErr w:type="spellEnd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5059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volumul</w:t>
      </w:r>
      <w:r w:rsidR="0075059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ui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arborilor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inventariați</w:t>
      </w:r>
      <w:proofErr w:type="spellEnd"/>
      <w:r w:rsidR="0075059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50591"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afectați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doborâturi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rupturi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vânt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zăpadă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incendii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 se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poate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realiza</w:t>
      </w:r>
      <w:proofErr w:type="spellEnd"/>
      <w:r w:rsidR="0075059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059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numai</w:t>
      </w:r>
      <w:proofErr w:type="spellEnd"/>
      <w:r w:rsidR="00750591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depunerea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actului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punere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valoare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aprobat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r w:rsidR="0098172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Garda </w:t>
      </w:r>
      <w:proofErr w:type="spellStart"/>
      <w:r w:rsidR="0098172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forestieră</w:t>
      </w:r>
      <w:proofErr w:type="spellEnd"/>
      <w:r w:rsidR="0098172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72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competentă</w:t>
      </w:r>
      <w:proofErr w:type="spellEnd"/>
      <w:r w:rsidR="0098172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723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teritorial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Volumul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provenit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arborii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afectați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doborâturi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rupturi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vânt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zăpadă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incendii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unitățile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gospodărire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reglementează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procesul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producție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se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precomptează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posibilitatea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produse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principale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stabilită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nivel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unitate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gospodărire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proprietate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condițiile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art. 59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alin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 (7)</w:t>
      </w:r>
      <w:proofErr w:type="gram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-(</w:t>
      </w:r>
      <w:proofErr w:type="gram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11) din </w:t>
      </w:r>
      <w:hyperlink r:id="rId19" w:history="1">
        <w:r w:rsidRPr="007817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Legea </w:t>
        </w:r>
        <w:proofErr w:type="spellStart"/>
        <w:r w:rsidRPr="007817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nr</w:t>
        </w:r>
        <w:proofErr w:type="spellEnd"/>
        <w:r w:rsidRPr="007817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. 46/2008 - </w:t>
        </w:r>
        <w:proofErr w:type="spellStart"/>
        <w:r w:rsidRPr="007817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Codul</w:t>
        </w:r>
        <w:proofErr w:type="spellEnd"/>
        <w:r w:rsidRPr="007817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silvic</w:t>
        </w:r>
      </w:hyperlink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republicată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781762">
        <w:rPr>
          <w:rStyle w:val="slit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EF31C1" w:rsidRPr="00781762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EF31C1" w:rsidRPr="00053F5E" w:rsidRDefault="00EF31C1" w:rsidP="00EF31C1">
      <w:pPr>
        <w:spacing w:after="0" w:line="240" w:lineRule="auto"/>
        <w:ind w:left="-426" w:right="-22" w:firstLine="710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ro-RO"/>
        </w:rPr>
      </w:pPr>
    </w:p>
    <w:p w:rsidR="00F92DD6" w:rsidRPr="00053F5E" w:rsidRDefault="00F92DD6" w:rsidP="00F92DD6">
      <w:pPr>
        <w:autoSpaceDE w:val="0"/>
        <w:autoSpaceDN w:val="0"/>
        <w:adjustRightInd w:val="0"/>
        <w:spacing w:after="0" w:line="240" w:lineRule="auto"/>
        <w:ind w:left="-426" w:right="-22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53F5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Art. II.</w:t>
      </w:r>
      <w:r w:rsidRPr="00053F5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–  Prezentul ordin se publică în Monitorul Oficial al României, Partea I.</w:t>
      </w:r>
    </w:p>
    <w:p w:rsidR="00545B4B" w:rsidRPr="00053F5E" w:rsidRDefault="00545B4B" w:rsidP="00545B4B">
      <w:pPr>
        <w:autoSpaceDE w:val="0"/>
        <w:autoSpaceDN w:val="0"/>
        <w:adjustRightInd w:val="0"/>
        <w:spacing w:after="0" w:line="240" w:lineRule="auto"/>
        <w:ind w:left="-426" w:right="-22" w:firstLine="71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545B4B" w:rsidRDefault="00545B4B" w:rsidP="00545B4B">
      <w:pPr>
        <w:spacing w:after="0" w:line="256" w:lineRule="auto"/>
        <w:ind w:left="-426" w:right="-22" w:firstLine="7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545B4B" w:rsidRDefault="00545B4B" w:rsidP="00545B4B">
      <w:pPr>
        <w:spacing w:after="0" w:line="256" w:lineRule="auto"/>
        <w:ind w:left="-426" w:right="-22" w:firstLine="7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545B4B" w:rsidRDefault="00545B4B" w:rsidP="00545B4B">
      <w:pPr>
        <w:spacing w:after="0" w:line="256" w:lineRule="auto"/>
        <w:ind w:left="-426" w:right="-22" w:firstLine="7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545B4B" w:rsidRPr="00053F5E" w:rsidRDefault="00545B4B" w:rsidP="00545B4B">
      <w:pPr>
        <w:spacing w:after="0" w:line="256" w:lineRule="auto"/>
        <w:ind w:left="-426" w:right="-22" w:firstLine="7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53F5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MINISTRUL MEDIULUI, APELOR ȘI PĂDURILOR</w:t>
      </w:r>
    </w:p>
    <w:p w:rsidR="00545B4B" w:rsidRPr="00682DC0" w:rsidRDefault="00545B4B" w:rsidP="00545B4B">
      <w:pPr>
        <w:shd w:val="clear" w:color="auto" w:fill="FFFFFF"/>
        <w:spacing w:after="0" w:line="390" w:lineRule="atLeast"/>
        <w:ind w:left="-426" w:right="-22" w:firstLine="71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53F5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Mircea FECHET</w:t>
      </w:r>
    </w:p>
    <w:p w:rsidR="001576F9" w:rsidRDefault="001576F9"/>
    <w:sectPr w:rsidR="001576F9" w:rsidSect="00E53D0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284" w:right="616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D8" w:rsidRDefault="000259D8" w:rsidP="00E53D07">
      <w:pPr>
        <w:spacing w:after="0" w:line="240" w:lineRule="auto"/>
      </w:pPr>
      <w:r>
        <w:separator/>
      </w:r>
    </w:p>
  </w:endnote>
  <w:endnote w:type="continuationSeparator" w:id="0">
    <w:p w:rsidR="000259D8" w:rsidRDefault="000259D8" w:rsidP="00E5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07" w:rsidRDefault="00E53D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07" w:rsidRDefault="00E53D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07" w:rsidRDefault="00E53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D8" w:rsidRDefault="000259D8" w:rsidP="00E53D07">
      <w:pPr>
        <w:spacing w:after="0" w:line="240" w:lineRule="auto"/>
      </w:pPr>
      <w:r>
        <w:separator/>
      </w:r>
    </w:p>
  </w:footnote>
  <w:footnote w:type="continuationSeparator" w:id="0">
    <w:p w:rsidR="000259D8" w:rsidRDefault="000259D8" w:rsidP="00E5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07" w:rsidRDefault="00E53D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901638"/>
      <w:docPartObj>
        <w:docPartGallery w:val="Watermarks"/>
        <w:docPartUnique/>
      </w:docPartObj>
    </w:sdtPr>
    <w:sdtEndPr/>
    <w:sdtContent>
      <w:p w:rsidR="00E53D07" w:rsidRDefault="000259D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35551689" o:spid="_x0000_s2049" type="#_x0000_t136" style="position:absolute;margin-left:0;margin-top:0;width:442.45pt;height:265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ORDI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07" w:rsidRDefault="00E53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65821"/>
    <w:multiLevelType w:val="hybridMultilevel"/>
    <w:tmpl w:val="F16EA07E"/>
    <w:lvl w:ilvl="0" w:tplc="BCA69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C1"/>
    <w:rsid w:val="000259D8"/>
    <w:rsid w:val="00065B9F"/>
    <w:rsid w:val="001576F9"/>
    <w:rsid w:val="003B2B45"/>
    <w:rsid w:val="003E4FB2"/>
    <w:rsid w:val="00434B92"/>
    <w:rsid w:val="00473831"/>
    <w:rsid w:val="00545B4B"/>
    <w:rsid w:val="00677024"/>
    <w:rsid w:val="00750591"/>
    <w:rsid w:val="00781762"/>
    <w:rsid w:val="008A1FF3"/>
    <w:rsid w:val="00981723"/>
    <w:rsid w:val="00A61696"/>
    <w:rsid w:val="00C8104D"/>
    <w:rsid w:val="00CF18F7"/>
    <w:rsid w:val="00E53D07"/>
    <w:rsid w:val="00EB3DC4"/>
    <w:rsid w:val="00EF31C1"/>
    <w:rsid w:val="00F9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F06B08-AC95-494E-8055-1EB4E3F7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1C1"/>
    <w:pPr>
      <w:ind w:left="720"/>
      <w:contextualSpacing/>
    </w:pPr>
  </w:style>
  <w:style w:type="character" w:customStyle="1" w:styleId="sden">
    <w:name w:val="s_den"/>
    <w:basedOn w:val="DefaultParagraphFont"/>
    <w:rsid w:val="00EF31C1"/>
  </w:style>
  <w:style w:type="character" w:customStyle="1" w:styleId="shdr">
    <w:name w:val="s_hdr"/>
    <w:basedOn w:val="DefaultParagraphFont"/>
    <w:rsid w:val="00EF31C1"/>
  </w:style>
  <w:style w:type="character" w:styleId="Hyperlink">
    <w:name w:val="Hyperlink"/>
    <w:basedOn w:val="DefaultParagraphFont"/>
    <w:uiPriority w:val="99"/>
    <w:semiHidden/>
    <w:unhideWhenUsed/>
    <w:rsid w:val="00A61696"/>
    <w:rPr>
      <w:color w:val="0000FF"/>
      <w:u w:val="single"/>
    </w:rPr>
  </w:style>
  <w:style w:type="character" w:customStyle="1" w:styleId="slit">
    <w:name w:val="s_lit"/>
    <w:basedOn w:val="DefaultParagraphFont"/>
    <w:rsid w:val="00781762"/>
  </w:style>
  <w:style w:type="character" w:customStyle="1" w:styleId="slitbdy">
    <w:name w:val="s_lit_bdy"/>
    <w:basedOn w:val="DefaultParagraphFont"/>
    <w:rsid w:val="00781762"/>
  </w:style>
  <w:style w:type="character" w:customStyle="1" w:styleId="spar">
    <w:name w:val="s_par"/>
    <w:basedOn w:val="DefaultParagraphFont"/>
    <w:rsid w:val="00781762"/>
  </w:style>
  <w:style w:type="character" w:customStyle="1" w:styleId="slitttl">
    <w:name w:val="s_lit_ttl"/>
    <w:basedOn w:val="DefaultParagraphFont"/>
    <w:rsid w:val="00781762"/>
  </w:style>
  <w:style w:type="paragraph" w:styleId="Header">
    <w:name w:val="header"/>
    <w:basedOn w:val="Normal"/>
    <w:link w:val="HeaderChar"/>
    <w:uiPriority w:val="99"/>
    <w:unhideWhenUsed/>
    <w:rsid w:val="00E5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07"/>
  </w:style>
  <w:style w:type="paragraph" w:styleId="Footer">
    <w:name w:val="footer"/>
    <w:basedOn w:val="Normal"/>
    <w:link w:val="FooterChar"/>
    <w:uiPriority w:val="99"/>
    <w:unhideWhenUsed/>
    <w:rsid w:val="00E5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gislatie.just.ro/Public/DetaliiDocumentAfis/203414" TargetMode="External"/><Relationship Id="rId18" Type="http://schemas.openxmlformats.org/officeDocument/2006/relationships/hyperlink" Target="https://legislatie.just.ro/Public/DetaliiDocumentAfis/20341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egislatie.just.ro/Public/DetaliiDocumentAfis/203414" TargetMode="External"/><Relationship Id="rId17" Type="http://schemas.openxmlformats.org/officeDocument/2006/relationships/hyperlink" Target="https://legislatie.just.ro/Public/DetaliiDocumentAfis/203414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legislatie.just.ro/Public/DetaliiDocumentAfis/20341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e.just.ro/Public/DetaliiDocumentAfis/203414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legislatie.just.ro/Public/DetaliiDocumentAfis/203414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egislatie.just.ro/Public/DetaliiDocumentAfis/203414" TargetMode="External"/><Relationship Id="rId19" Type="http://schemas.openxmlformats.org/officeDocument/2006/relationships/hyperlink" Target="https://legislatie.just.ro/Public/DetaliiDocumentAfis/2294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e.just.ro/Public/DetaliiDocumentAfis/203414" TargetMode="External"/><Relationship Id="rId14" Type="http://schemas.openxmlformats.org/officeDocument/2006/relationships/hyperlink" Target="https://legislatie.just.ro/Public/DetaliiDocumentAfis/203414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62BEB-7A23-462A-84C3-AF9D9CC3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12</cp:revision>
  <dcterms:created xsi:type="dcterms:W3CDTF">2023-07-31T05:21:00Z</dcterms:created>
  <dcterms:modified xsi:type="dcterms:W3CDTF">2023-10-03T07:49:00Z</dcterms:modified>
</cp:coreProperties>
</file>