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1440B" w14:textId="7463232B" w:rsidR="007F0241" w:rsidRPr="00995845" w:rsidRDefault="00900120" w:rsidP="007F0241">
      <w:pPr>
        <w:rPr>
          <w:lang w:val="ro-RO"/>
        </w:rPr>
      </w:pPr>
      <w:r>
        <w:rPr>
          <w:lang w:val="ro-RO"/>
        </w:rPr>
        <w:t xml:space="preserve"> </w:t>
      </w:r>
    </w:p>
    <w:p w14:paraId="261C23E1" w14:textId="77777777" w:rsidR="007F0241" w:rsidRPr="00995845" w:rsidRDefault="007F0241" w:rsidP="007F0241">
      <w:pPr>
        <w:pStyle w:val="Title"/>
        <w:rPr>
          <w:sz w:val="24"/>
          <w:szCs w:val="24"/>
          <w:lang w:val="ro-RO"/>
        </w:rPr>
      </w:pPr>
    </w:p>
    <w:p w14:paraId="209925F6" w14:textId="77777777" w:rsidR="007F0241" w:rsidRPr="00995845" w:rsidRDefault="007F0241" w:rsidP="007F0241">
      <w:pPr>
        <w:pStyle w:val="Title"/>
        <w:rPr>
          <w:sz w:val="24"/>
          <w:szCs w:val="24"/>
          <w:lang w:val="ro-RO"/>
        </w:rPr>
      </w:pPr>
      <w:r w:rsidRPr="00995845">
        <w:rPr>
          <w:sz w:val="24"/>
          <w:szCs w:val="24"/>
          <w:lang w:val="ro-RO"/>
        </w:rPr>
        <w:t>NOTĂ DE FUNDAMENTARE</w:t>
      </w:r>
    </w:p>
    <w:p w14:paraId="2E522330" w14:textId="77777777" w:rsidR="007F0241" w:rsidRPr="00995845" w:rsidRDefault="007F0241" w:rsidP="007F0241">
      <w:pPr>
        <w:pStyle w:val="Title"/>
        <w:rPr>
          <w:sz w:val="24"/>
          <w:szCs w:val="24"/>
          <w:lang w:val="ro-RO"/>
        </w:rPr>
      </w:pPr>
    </w:p>
    <w:p w14:paraId="201CB398" w14:textId="77777777" w:rsidR="007F0241" w:rsidRPr="00995845" w:rsidRDefault="007F0241" w:rsidP="007F0241">
      <w:pPr>
        <w:pStyle w:val="Title"/>
        <w:rPr>
          <w:sz w:val="24"/>
          <w:szCs w:val="24"/>
          <w:lang w:val="ro-RO"/>
        </w:rPr>
      </w:pPr>
    </w:p>
    <w:p w14:paraId="082288D1" w14:textId="77777777" w:rsidR="007F0241" w:rsidRPr="00995845" w:rsidRDefault="007F0241" w:rsidP="007F0241">
      <w:pPr>
        <w:pStyle w:val="Title"/>
        <w:rPr>
          <w:sz w:val="24"/>
          <w:szCs w:val="24"/>
          <w:lang w:val="ro-RO"/>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125"/>
        <w:gridCol w:w="1165"/>
        <w:gridCol w:w="992"/>
        <w:gridCol w:w="993"/>
        <w:gridCol w:w="1134"/>
        <w:gridCol w:w="1134"/>
        <w:gridCol w:w="1176"/>
      </w:tblGrid>
      <w:tr w:rsidR="007F0241" w:rsidRPr="00900120" w14:paraId="5B9EBB12" w14:textId="77777777" w:rsidTr="00164FA4">
        <w:tc>
          <w:tcPr>
            <w:tcW w:w="9540" w:type="dxa"/>
            <w:gridSpan w:val="8"/>
          </w:tcPr>
          <w:p w14:paraId="2FE76F0D" w14:textId="77777777" w:rsidR="007F0241" w:rsidRPr="00995845" w:rsidRDefault="007F0241" w:rsidP="00164FA4">
            <w:pPr>
              <w:tabs>
                <w:tab w:val="left" w:pos="5220"/>
              </w:tabs>
              <w:autoSpaceDE w:val="0"/>
              <w:autoSpaceDN w:val="0"/>
              <w:adjustRightInd w:val="0"/>
              <w:jc w:val="both"/>
              <w:rPr>
                <w:lang w:val="ro-RO"/>
              </w:rPr>
            </w:pPr>
            <w:r w:rsidRPr="00995845">
              <w:rPr>
                <w:lang w:val="ro-RO"/>
              </w:rPr>
              <w:t>Secţiunea 1</w:t>
            </w:r>
          </w:p>
          <w:p w14:paraId="5C9C173E" w14:textId="77777777" w:rsidR="007F0241" w:rsidRPr="00995845" w:rsidRDefault="007F0241" w:rsidP="00164FA4">
            <w:pPr>
              <w:tabs>
                <w:tab w:val="left" w:pos="5220"/>
              </w:tabs>
              <w:autoSpaceDE w:val="0"/>
              <w:autoSpaceDN w:val="0"/>
              <w:adjustRightInd w:val="0"/>
              <w:jc w:val="both"/>
              <w:rPr>
                <w:lang w:val="ro-RO"/>
              </w:rPr>
            </w:pPr>
          </w:p>
          <w:p w14:paraId="6B349756" w14:textId="77777777" w:rsidR="007F0241" w:rsidRPr="00995845" w:rsidRDefault="0091084C" w:rsidP="00164FA4">
            <w:pPr>
              <w:tabs>
                <w:tab w:val="left" w:pos="5220"/>
              </w:tabs>
              <w:autoSpaceDE w:val="0"/>
              <w:autoSpaceDN w:val="0"/>
              <w:adjustRightInd w:val="0"/>
              <w:jc w:val="both"/>
              <w:rPr>
                <w:bCs/>
                <w:lang w:val="ro-RO"/>
              </w:rPr>
            </w:pPr>
            <w:r w:rsidRPr="00AC6872">
              <w:rPr>
                <w:lang w:val="ro-RO"/>
              </w:rPr>
              <w:t xml:space="preserve">Titlul proiectului de act normativ: </w:t>
            </w:r>
            <w:r>
              <w:rPr>
                <w:lang w:val="ro-RO"/>
              </w:rPr>
              <w:t xml:space="preserve">Hotărâre </w:t>
            </w:r>
            <w:r w:rsidRPr="00516B44">
              <w:rPr>
                <w:lang w:val="ro-RO"/>
              </w:rPr>
              <w:t>pentru modificarea şi completarea</w:t>
            </w:r>
            <w:r>
              <w:rPr>
                <w:lang w:val="ro-RO"/>
              </w:rPr>
              <w:t xml:space="preserve"> Hotărârii Guvernului nr. 1132/2008 </w:t>
            </w:r>
            <w:r w:rsidRPr="00516B44">
              <w:rPr>
                <w:lang w:val="ro-RO"/>
              </w:rPr>
              <w:t xml:space="preserve">privind regimul bateriilor şi acumulatorilor şi al </w:t>
            </w:r>
            <w:r w:rsidR="00A53D65" w:rsidRPr="00516B44">
              <w:rPr>
                <w:lang w:val="ro-RO"/>
              </w:rPr>
              <w:t>deșeurilor</w:t>
            </w:r>
            <w:r w:rsidRPr="00516B44">
              <w:rPr>
                <w:lang w:val="ro-RO"/>
              </w:rPr>
              <w:t xml:space="preserve"> de baterii şi acumulatori</w:t>
            </w:r>
          </w:p>
        </w:tc>
      </w:tr>
      <w:tr w:rsidR="007F0241" w:rsidRPr="00995845" w14:paraId="3D28BEA2" w14:textId="77777777" w:rsidTr="00164FA4">
        <w:tc>
          <w:tcPr>
            <w:tcW w:w="9540" w:type="dxa"/>
            <w:gridSpan w:val="8"/>
          </w:tcPr>
          <w:p w14:paraId="737B930D" w14:textId="77777777" w:rsidR="007F0241" w:rsidRPr="00995845" w:rsidRDefault="007F0241" w:rsidP="00164FA4">
            <w:pPr>
              <w:jc w:val="both"/>
              <w:rPr>
                <w:lang w:val="ro-RO"/>
              </w:rPr>
            </w:pPr>
            <w:r w:rsidRPr="00995845">
              <w:rPr>
                <w:lang w:val="ro-RO"/>
              </w:rPr>
              <w:t>Secţiunea a 2-a</w:t>
            </w:r>
          </w:p>
          <w:p w14:paraId="66C5610B" w14:textId="77777777" w:rsidR="007F0241" w:rsidRPr="00995845" w:rsidRDefault="007F0241" w:rsidP="00164FA4">
            <w:pPr>
              <w:jc w:val="both"/>
              <w:rPr>
                <w:lang w:val="ro-RO"/>
              </w:rPr>
            </w:pPr>
            <w:r w:rsidRPr="00995845">
              <w:rPr>
                <w:lang w:val="ro-RO"/>
              </w:rPr>
              <w:t>Motivul emiterii actului normativ</w:t>
            </w:r>
          </w:p>
        </w:tc>
      </w:tr>
      <w:tr w:rsidR="007F0241" w:rsidRPr="00900120" w14:paraId="2764C444" w14:textId="77777777" w:rsidTr="00164FA4">
        <w:tc>
          <w:tcPr>
            <w:tcW w:w="2821" w:type="dxa"/>
          </w:tcPr>
          <w:p w14:paraId="5F262C4F" w14:textId="77777777" w:rsidR="007F0241" w:rsidRPr="00995845" w:rsidRDefault="007F0241" w:rsidP="00164FA4">
            <w:pPr>
              <w:jc w:val="both"/>
              <w:rPr>
                <w:lang w:val="ro-RO"/>
              </w:rPr>
            </w:pPr>
            <w:r w:rsidRPr="00995845">
              <w:rPr>
                <w:lang w:val="ro-RO"/>
              </w:rPr>
              <w:t>1.Descrierea situaţiei actuale.</w:t>
            </w:r>
          </w:p>
          <w:p w14:paraId="567EBC46" w14:textId="77777777" w:rsidR="007F0241" w:rsidRPr="00995845" w:rsidRDefault="007F0241" w:rsidP="00164FA4">
            <w:pPr>
              <w:jc w:val="both"/>
              <w:rPr>
                <w:lang w:val="ro-RO"/>
              </w:rPr>
            </w:pPr>
          </w:p>
        </w:tc>
        <w:tc>
          <w:tcPr>
            <w:tcW w:w="6719" w:type="dxa"/>
            <w:gridSpan w:val="7"/>
          </w:tcPr>
          <w:p w14:paraId="73D24AB3" w14:textId="5B7F163F" w:rsidR="007F0241" w:rsidRDefault="0091084C" w:rsidP="0091084C">
            <w:pPr>
              <w:suppressAutoHyphens/>
              <w:spacing w:line="276" w:lineRule="auto"/>
              <w:jc w:val="both"/>
              <w:rPr>
                <w:bCs/>
                <w:lang w:val="ro-RO"/>
              </w:rPr>
            </w:pPr>
            <w:r w:rsidRPr="00AC6872">
              <w:rPr>
                <w:lang w:val="it-IT"/>
              </w:rPr>
              <w:t xml:space="preserve">În prezent, în România, </w:t>
            </w:r>
            <w:r w:rsidRPr="0095459D">
              <w:rPr>
                <w:lang w:val="it-IT"/>
              </w:rPr>
              <w:t>regimul bateriilor şi acumulatorilor şi al deşeurilor de baterii şi acumulatori</w:t>
            </w:r>
            <w:r w:rsidRPr="00AC6872">
              <w:rPr>
                <w:lang w:val="it-IT"/>
              </w:rPr>
              <w:t xml:space="preserve"> este reglementat de Hotărârea Guvernului nr. 1</w:t>
            </w:r>
            <w:r>
              <w:rPr>
                <w:lang w:val="it-IT"/>
              </w:rPr>
              <w:t>132</w:t>
            </w:r>
            <w:r w:rsidRPr="00AC6872">
              <w:rPr>
                <w:lang w:val="it-IT"/>
              </w:rPr>
              <w:t>/20</w:t>
            </w:r>
            <w:r>
              <w:rPr>
                <w:lang w:val="it-IT"/>
              </w:rPr>
              <w:t>08</w:t>
            </w:r>
            <w:r w:rsidRPr="00AC6872">
              <w:rPr>
                <w:lang w:val="it-IT"/>
              </w:rPr>
              <w:t xml:space="preserve"> privind </w:t>
            </w:r>
            <w:r>
              <w:rPr>
                <w:lang w:val="it-IT"/>
              </w:rPr>
              <w:t xml:space="preserve">bateriile </w:t>
            </w:r>
            <w:r>
              <w:rPr>
                <w:lang w:val="ro-RO"/>
              </w:rPr>
              <w:t>și acumulatorii și deșeurile de baterii și acumulatori</w:t>
            </w:r>
            <w:r>
              <w:rPr>
                <w:bCs/>
                <w:lang w:val="ro-RO"/>
              </w:rPr>
              <w:t>, cu  modificările și completările ulterioare</w:t>
            </w:r>
            <w:r w:rsidR="00CA368E">
              <w:rPr>
                <w:bCs/>
                <w:lang w:val="ro-RO"/>
              </w:rPr>
              <w:t xml:space="preserve">, care transpune în legislația națională prevederile </w:t>
            </w:r>
            <w:r w:rsidR="00CA368E" w:rsidRPr="0091084C">
              <w:rPr>
                <w:lang w:val="it-IT"/>
              </w:rPr>
              <w:t>Directivei 2006/66/CE privind bateriile și acumulatorii și deșeurile de baterii și acumulatori</w:t>
            </w:r>
            <w:r w:rsidR="00CA368E" w:rsidRPr="004D4EC2">
              <w:rPr>
                <w:lang w:val="ro-RO"/>
              </w:rPr>
              <w:t>,</w:t>
            </w:r>
            <w:r w:rsidR="00CA368E">
              <w:rPr>
                <w:bCs/>
                <w:lang w:val="ro-RO"/>
              </w:rPr>
              <w:t xml:space="preserve"> cu  modificările și completările ulterioare.</w:t>
            </w:r>
            <w:r w:rsidR="00B747D5">
              <w:rPr>
                <w:bCs/>
                <w:lang w:val="ro-RO"/>
              </w:rPr>
              <w:t xml:space="preserve"> </w:t>
            </w:r>
          </w:p>
          <w:p w14:paraId="5709A0A5" w14:textId="63B76C06" w:rsidR="004D4EC2" w:rsidRPr="004D4EC2" w:rsidRDefault="00900120" w:rsidP="0091084C">
            <w:pPr>
              <w:suppressAutoHyphens/>
              <w:spacing w:line="276" w:lineRule="auto"/>
              <w:jc w:val="both"/>
              <w:rPr>
                <w:lang w:val="ro-RO"/>
              </w:rPr>
            </w:pPr>
            <w:r>
              <w:rPr>
                <w:bCs/>
                <w:lang w:val="ro-RO"/>
              </w:rPr>
              <w:t xml:space="preserve">Dat fiind ca </w:t>
            </w:r>
            <w:r w:rsidRPr="00307FD4">
              <w:rPr>
                <w:lang w:val="fr-FR"/>
              </w:rPr>
              <w:t>Decizia 2008/763/CE din 29 septembrie 2008 de stabilire, în conformitate cu Directiva 2006/66/CE a Parlamentului European și a Consiliului, a unei metode comune de calculare a vânzărilor anuale de baterii și acumulatori portabili către utilizatorii finali</w:t>
            </w:r>
            <w:r>
              <w:rPr>
                <w:lang w:val="fr-FR"/>
              </w:rPr>
              <w:t>.</w:t>
            </w:r>
            <w:r>
              <w:rPr>
                <w:rStyle w:val="FootnoteReference"/>
                <w:lang w:val="fr-FR"/>
              </w:rPr>
              <w:footnoteReference w:id="1"/>
            </w:r>
            <w:r>
              <w:rPr>
                <w:lang w:val="fr-FR"/>
              </w:rPr>
              <w:t xml:space="preserve"> a fost adoptat</w:t>
            </w:r>
            <w:r w:rsidRPr="0092547D">
              <w:rPr>
                <w:lang w:val="fr-FR"/>
              </w:rPr>
              <w:t>ă în</w:t>
            </w:r>
            <w:r>
              <w:rPr>
                <w:lang w:val="fr-FR"/>
              </w:rPr>
              <w:t xml:space="preserve"> data de 1 octombrie 2008, iar Hotărârea de Guvern nr. 1132/2008 a fost publicată în Monitorul Oficial în data de 18 septembrie 2008, o</w:t>
            </w:r>
            <w:r w:rsidR="00B747D5">
              <w:rPr>
                <w:bCs/>
                <w:lang w:val="ro-RO"/>
              </w:rPr>
              <w:t xml:space="preserve">rdinul de </w:t>
            </w:r>
            <w:r>
              <w:rPr>
                <w:bCs/>
                <w:lang w:val="ro-RO"/>
              </w:rPr>
              <w:t>m</w:t>
            </w:r>
            <w:r w:rsidR="00B747D5">
              <w:rPr>
                <w:bCs/>
                <w:lang w:val="ro-RO"/>
              </w:rPr>
              <w:t xml:space="preserve">inistru la care se face referire in Art. </w:t>
            </w:r>
            <w:r>
              <w:rPr>
                <w:bCs/>
                <w:lang w:val="ro-RO"/>
              </w:rPr>
              <w:t>7, alin. 5</w:t>
            </w:r>
            <w:r w:rsidR="00B747D5">
              <w:rPr>
                <w:bCs/>
                <w:lang w:val="ro-RO"/>
              </w:rPr>
              <w:t xml:space="preserve"> din </w:t>
            </w:r>
            <w:r w:rsidR="00B747D5" w:rsidRPr="00AC6872">
              <w:rPr>
                <w:lang w:val="it-IT"/>
              </w:rPr>
              <w:t>Hotărârea Guvernului nr. 1</w:t>
            </w:r>
            <w:r w:rsidR="00B747D5">
              <w:rPr>
                <w:lang w:val="it-IT"/>
              </w:rPr>
              <w:t>132</w:t>
            </w:r>
            <w:r w:rsidR="00B747D5" w:rsidRPr="00AC6872">
              <w:rPr>
                <w:lang w:val="it-IT"/>
              </w:rPr>
              <w:t>/20</w:t>
            </w:r>
            <w:r w:rsidR="00B747D5">
              <w:rPr>
                <w:lang w:val="it-IT"/>
              </w:rPr>
              <w:t>08</w:t>
            </w:r>
            <w:r w:rsidR="00B747D5" w:rsidRPr="00AC6872">
              <w:rPr>
                <w:lang w:val="it-IT"/>
              </w:rPr>
              <w:t xml:space="preserve"> privind </w:t>
            </w:r>
            <w:r w:rsidR="00B747D5">
              <w:rPr>
                <w:lang w:val="it-IT"/>
              </w:rPr>
              <w:t xml:space="preserve">bateriile </w:t>
            </w:r>
            <w:r w:rsidR="00B747D5">
              <w:rPr>
                <w:lang w:val="ro-RO"/>
              </w:rPr>
              <w:t>și acumulatorii și deșeurile de baterii și acumulatori</w:t>
            </w:r>
            <w:r w:rsidR="00B747D5">
              <w:rPr>
                <w:bCs/>
                <w:lang w:val="ro-RO"/>
              </w:rPr>
              <w:t>, cu  modificările și completările ulterioare</w:t>
            </w:r>
            <w:r>
              <w:rPr>
                <w:bCs/>
                <w:lang w:val="ro-RO"/>
              </w:rPr>
              <w:t xml:space="preserve"> nu a mai fost necesar. </w:t>
            </w:r>
          </w:p>
        </w:tc>
      </w:tr>
      <w:tr w:rsidR="007F0241" w:rsidRPr="00900120" w14:paraId="2B05EB1E" w14:textId="77777777" w:rsidTr="00164FA4">
        <w:tc>
          <w:tcPr>
            <w:tcW w:w="2821" w:type="dxa"/>
          </w:tcPr>
          <w:p w14:paraId="5FCA34E0" w14:textId="77777777" w:rsidR="007F0241" w:rsidRPr="00995845" w:rsidRDefault="007F0241" w:rsidP="00164FA4">
            <w:pPr>
              <w:jc w:val="both"/>
              <w:rPr>
                <w:lang w:val="ro-RO"/>
              </w:rPr>
            </w:pPr>
            <w:r w:rsidRPr="00995845">
              <w:rPr>
                <w:lang w:val="ro-RO"/>
              </w:rPr>
              <w:t>1</w:t>
            </w:r>
            <w:r w:rsidRPr="00995845">
              <w:rPr>
                <w:vertAlign w:val="superscript"/>
                <w:lang w:val="ro-RO"/>
              </w:rPr>
              <w:t>1</w:t>
            </w:r>
            <w:r w:rsidRPr="00995845">
              <w:rPr>
                <w:lang w:val="ro-RO"/>
              </w:rPr>
              <w:t xml:space="preserve"> În cazul proiectelor de acte normative care transpun legislaţie comunitară sau creează cadrul pentru aplicarea directă a acesteia</w:t>
            </w:r>
          </w:p>
        </w:tc>
        <w:tc>
          <w:tcPr>
            <w:tcW w:w="6719" w:type="dxa"/>
            <w:gridSpan w:val="7"/>
          </w:tcPr>
          <w:p w14:paraId="6B5B5CD9" w14:textId="45FB29C0" w:rsidR="007F0241" w:rsidRPr="0091084C" w:rsidRDefault="007F0241" w:rsidP="0091084C">
            <w:pPr>
              <w:pStyle w:val="Default"/>
              <w:spacing w:line="360" w:lineRule="auto"/>
              <w:jc w:val="both"/>
              <w:rPr>
                <w:rFonts w:ascii="Times New Roman" w:eastAsia="Times New Roman" w:hAnsi="Times New Roman" w:cs="Times New Roman"/>
                <w:color w:val="auto"/>
                <w:lang w:eastAsia="en-US"/>
              </w:rPr>
            </w:pPr>
            <w:r w:rsidRPr="0091084C">
              <w:rPr>
                <w:rFonts w:ascii="Times New Roman" w:eastAsia="MS Mincho" w:hAnsi="Times New Roman" w:cs="Times New Roman"/>
                <w:color w:val="auto"/>
                <w:lang w:val="it-IT" w:eastAsia="en-US"/>
              </w:rPr>
              <w:t xml:space="preserve">Având în vedere obligațiile care revin României, în calitate de stat membru al Uniunii Europene, în ceea ce privește asigurarea transpunerii corecte și integrale a acquis –ului UE și implementării acestuia, prin prezentul proiect de act normativ se asigură transpunerea </w:t>
            </w:r>
            <w:r w:rsidR="0091084C" w:rsidRPr="0091084C">
              <w:rPr>
                <w:rFonts w:ascii="Times New Roman" w:eastAsia="MS Mincho" w:hAnsi="Times New Roman" w:cs="Times New Roman"/>
                <w:color w:val="auto"/>
                <w:lang w:val="it-IT" w:eastAsia="en-US"/>
              </w:rPr>
              <w:t xml:space="preserve">în legislația națională a prevederilor art.2 din Directiva (UE) 2018/849 </w:t>
            </w:r>
            <w:r w:rsidR="00026FBA">
              <w:rPr>
                <w:rFonts w:ascii="Times New Roman" w:eastAsia="MS Mincho" w:hAnsi="Times New Roman" w:cs="Times New Roman"/>
                <w:color w:val="auto"/>
                <w:lang w:val="it-IT" w:eastAsia="en-US"/>
              </w:rPr>
              <w:t>a</w:t>
            </w:r>
            <w:r w:rsidR="0091084C" w:rsidRPr="0091084C">
              <w:rPr>
                <w:rFonts w:ascii="Times New Roman" w:eastAsia="MS Mincho" w:hAnsi="Times New Roman" w:cs="Times New Roman"/>
                <w:color w:val="auto"/>
                <w:lang w:val="it-IT" w:eastAsia="en-US"/>
              </w:rPr>
              <w:t xml:space="preserve"> Parlamentului  European și a Consiliului din 30 mai 2018 de modificare a Directivei 2000/53/CE privind vehiculele scoase din uz, a Directivei 2006/66/CE privind bateriile și acumulatorii și deșeurile de baterii și acumulatori și a Directivei 2012/19/UE privind deșeurile de echipamente electrice </w:t>
            </w:r>
            <w:r w:rsidR="0091084C" w:rsidRPr="0091084C">
              <w:rPr>
                <w:rFonts w:ascii="Times New Roman" w:eastAsia="MS Mincho" w:hAnsi="Times New Roman" w:cs="Times New Roman"/>
                <w:color w:val="auto"/>
                <w:lang w:val="it-IT" w:eastAsia="en-US"/>
              </w:rPr>
              <w:lastRenderedPageBreak/>
              <w:t>și electronice, publicată în Jurnalul Oficial al Uniunii Europene, seria L, nr. 150 din 14 iunie 2018</w:t>
            </w:r>
            <w:r w:rsidR="0091084C" w:rsidRPr="00487EC4">
              <w:rPr>
                <w:rFonts w:ascii="Times New Roman" w:eastAsia="Times New Roman" w:hAnsi="Times New Roman" w:cs="Times New Roman"/>
                <w:color w:val="auto"/>
                <w:lang w:eastAsia="en-US"/>
              </w:rPr>
              <w:t>.</w:t>
            </w:r>
          </w:p>
        </w:tc>
      </w:tr>
      <w:tr w:rsidR="007F0241" w:rsidRPr="00900120" w14:paraId="1472FB33" w14:textId="77777777" w:rsidTr="00164FA4">
        <w:tc>
          <w:tcPr>
            <w:tcW w:w="2821" w:type="dxa"/>
          </w:tcPr>
          <w:p w14:paraId="1D19A229" w14:textId="77777777" w:rsidR="007F0241" w:rsidRPr="00995845" w:rsidRDefault="007F0241" w:rsidP="00164FA4">
            <w:pPr>
              <w:jc w:val="both"/>
              <w:rPr>
                <w:lang w:val="ro-RO"/>
              </w:rPr>
            </w:pPr>
            <w:r w:rsidRPr="00995845">
              <w:rPr>
                <w:lang w:val="ro-RO"/>
              </w:rPr>
              <w:lastRenderedPageBreak/>
              <w:t>2.Schimbări preconizate</w:t>
            </w:r>
          </w:p>
        </w:tc>
        <w:tc>
          <w:tcPr>
            <w:tcW w:w="6719" w:type="dxa"/>
            <w:gridSpan w:val="7"/>
          </w:tcPr>
          <w:p w14:paraId="7B6EC493" w14:textId="77777777" w:rsidR="007F0241" w:rsidRPr="0030110F" w:rsidRDefault="00733835" w:rsidP="00A15232">
            <w:pPr>
              <w:pStyle w:val="ListParagraph"/>
              <w:autoSpaceDE w:val="0"/>
              <w:autoSpaceDN w:val="0"/>
              <w:adjustRightInd w:val="0"/>
              <w:spacing w:after="0" w:line="240" w:lineRule="auto"/>
              <w:ind w:left="0"/>
              <w:rPr>
                <w:rFonts w:ascii="Times New Roman" w:hAnsi="Times New Roman"/>
                <w:sz w:val="24"/>
                <w:szCs w:val="24"/>
                <w:lang w:val="ro-RO"/>
              </w:rPr>
            </w:pPr>
            <w:r w:rsidRPr="0030110F">
              <w:rPr>
                <w:rFonts w:ascii="Times New Roman" w:hAnsi="Times New Roman"/>
                <w:sz w:val="24"/>
                <w:szCs w:val="24"/>
                <w:lang w:val="ro-RO"/>
              </w:rPr>
              <w:t>Rapoartele de punere în aplicare elaborate de statele membre o dată la trei ani nu s-au dovedit a fi un instrument eficace pentru verificarea conformității sau pentru asigurarea unei bune puneri în aplicare</w:t>
            </w:r>
            <w:r w:rsidR="00CE6286" w:rsidRPr="0030110F">
              <w:rPr>
                <w:rFonts w:ascii="Times New Roman" w:hAnsi="Times New Roman"/>
                <w:sz w:val="24"/>
                <w:szCs w:val="24"/>
                <w:lang w:val="ro-RO"/>
              </w:rPr>
              <w:t xml:space="preserve"> a Directivei 2006/66/CE</w:t>
            </w:r>
            <w:r w:rsidRPr="0030110F">
              <w:rPr>
                <w:rFonts w:ascii="Times New Roman" w:hAnsi="Times New Roman"/>
                <w:sz w:val="24"/>
                <w:szCs w:val="24"/>
                <w:lang w:val="ro-RO"/>
              </w:rPr>
              <w:t>, generând sarcini administrative inutile. Directiva (UE) 2018/849 abrogă dispozițiile care impun statelor membre obligația de a elabora astfel de rapoarte. În schimb, monitorizarea conformității  se baze</w:t>
            </w:r>
            <w:r w:rsidR="00875CA1">
              <w:rPr>
                <w:rFonts w:ascii="Times New Roman" w:hAnsi="Times New Roman"/>
                <w:sz w:val="24"/>
                <w:szCs w:val="24"/>
                <w:lang w:val="ro-RO"/>
              </w:rPr>
              <w:t>a</w:t>
            </w:r>
            <w:r w:rsidRPr="0030110F">
              <w:rPr>
                <w:rFonts w:ascii="Times New Roman" w:hAnsi="Times New Roman"/>
                <w:sz w:val="24"/>
                <w:szCs w:val="24"/>
                <w:lang w:val="ro-RO"/>
              </w:rPr>
              <w:t>ză exclusiv pe datele pe care statele membre le raportează în fiecare an Comisiei.</w:t>
            </w:r>
          </w:p>
          <w:p w14:paraId="637838C1" w14:textId="77777777" w:rsidR="00CE6286" w:rsidRPr="0030110F" w:rsidRDefault="00CE6286" w:rsidP="00A15232">
            <w:pPr>
              <w:pStyle w:val="ListParagraph"/>
              <w:autoSpaceDE w:val="0"/>
              <w:autoSpaceDN w:val="0"/>
              <w:adjustRightInd w:val="0"/>
              <w:spacing w:after="0" w:line="240" w:lineRule="auto"/>
              <w:ind w:left="0"/>
              <w:rPr>
                <w:rFonts w:ascii="Times New Roman" w:hAnsi="Times New Roman"/>
                <w:sz w:val="24"/>
                <w:szCs w:val="24"/>
                <w:lang w:val="ro-RO"/>
              </w:rPr>
            </w:pPr>
          </w:p>
          <w:p w14:paraId="16263FF9" w14:textId="77777777" w:rsidR="00CE6286" w:rsidRPr="0030110F" w:rsidRDefault="00CE6286" w:rsidP="00A15232">
            <w:pPr>
              <w:pStyle w:val="Default"/>
              <w:jc w:val="both"/>
              <w:rPr>
                <w:rFonts w:ascii="Times New Roman" w:eastAsia="MS Mincho" w:hAnsi="Times New Roman" w:cs="Times New Roman"/>
                <w:color w:val="auto"/>
                <w:lang w:eastAsia="en-US"/>
              </w:rPr>
            </w:pPr>
            <w:r w:rsidRPr="0030110F">
              <w:rPr>
                <w:rFonts w:ascii="Times New Roman" w:eastAsia="MS Mincho" w:hAnsi="Times New Roman" w:cs="Times New Roman"/>
                <w:color w:val="auto"/>
                <w:lang w:eastAsia="en-US"/>
              </w:rPr>
              <w:t xml:space="preserve">Prin intermediul prezentei hotărâri de modificare şi completare a Hotărârii Guvernului nr. 1132/2008 privind regimul bateriilor şi acumulatorilor şi al </w:t>
            </w:r>
            <w:r w:rsidR="00A53D65" w:rsidRPr="0030110F">
              <w:rPr>
                <w:rFonts w:ascii="Times New Roman" w:eastAsia="MS Mincho" w:hAnsi="Times New Roman" w:cs="Times New Roman"/>
                <w:color w:val="auto"/>
                <w:lang w:eastAsia="en-US"/>
              </w:rPr>
              <w:t>deșeurilor</w:t>
            </w:r>
            <w:r w:rsidRPr="0030110F">
              <w:rPr>
                <w:rFonts w:ascii="Times New Roman" w:eastAsia="MS Mincho" w:hAnsi="Times New Roman" w:cs="Times New Roman"/>
                <w:color w:val="auto"/>
                <w:lang w:eastAsia="en-US"/>
              </w:rPr>
              <w:t xml:space="preserve"> de baterii şi acumulatori sunt preconizate</w:t>
            </w:r>
            <w:r w:rsidR="00070FAD">
              <w:rPr>
                <w:rFonts w:ascii="Times New Roman" w:eastAsia="MS Mincho" w:hAnsi="Times New Roman" w:cs="Times New Roman"/>
                <w:color w:val="auto"/>
                <w:lang w:eastAsia="en-US"/>
              </w:rPr>
              <w:t xml:space="preserve"> </w:t>
            </w:r>
            <w:r w:rsidR="00070FAD">
              <w:rPr>
                <w:rFonts w:ascii="Times New Roman" w:eastAsia="MS Mincho" w:hAnsi="Times New Roman" w:cs="Times New Roman"/>
              </w:rPr>
              <w:t>urm</w:t>
            </w:r>
            <w:r w:rsidR="00070FAD" w:rsidRPr="00952FD0">
              <w:rPr>
                <w:rFonts w:ascii="Times New Roman" w:eastAsia="MS Mincho" w:hAnsi="Times New Roman" w:cs="Times New Roman"/>
              </w:rPr>
              <w:t>ătoarele aspecte</w:t>
            </w:r>
            <w:r w:rsidR="00070FAD" w:rsidRPr="00CB0EDD">
              <w:rPr>
                <w:rFonts w:ascii="Times New Roman" w:eastAsia="MS Mincho" w:hAnsi="Times New Roman" w:cs="Times New Roman"/>
              </w:rPr>
              <w:t>:</w:t>
            </w:r>
          </w:p>
          <w:p w14:paraId="5470F099" w14:textId="77777777" w:rsidR="00A53D65" w:rsidRDefault="00A53D65" w:rsidP="00A15232">
            <w:pPr>
              <w:pStyle w:val="ListParagraph"/>
              <w:numPr>
                <w:ilvl w:val="0"/>
                <w:numId w:val="3"/>
              </w:numPr>
              <w:spacing w:line="240" w:lineRule="auto"/>
              <w:rPr>
                <w:rFonts w:ascii="Times New Roman" w:hAnsi="Times New Roman"/>
                <w:sz w:val="24"/>
                <w:szCs w:val="24"/>
                <w:lang w:val="ro-RO"/>
              </w:rPr>
            </w:pPr>
            <w:r w:rsidRPr="0030110F">
              <w:rPr>
                <w:rFonts w:ascii="Times New Roman" w:hAnsi="Times New Roman"/>
                <w:sz w:val="24"/>
                <w:szCs w:val="24"/>
                <w:lang w:val="ro-RO"/>
              </w:rPr>
              <w:t xml:space="preserve">Fără a aduce atingere Regulamentului (CE) nr. 2150/2002 al Parlamentului European și al Consiliului referitor la statisticile privind deșeurile, Agenția Națională pentru Protecția Mediului transmite Comisiei Europene, pe cale electronică, rapoarte, în termen de 18 luni de la sfârșitul anului de raportare pentru care sunt colectate datele. Rapoartele indică modul în care au fost obținute datele necesare pentru a calcula ratele de colectare. </w:t>
            </w:r>
          </w:p>
          <w:p w14:paraId="0BCAFFD1" w14:textId="77777777" w:rsidR="00A15232" w:rsidRPr="0030110F" w:rsidRDefault="00A15232" w:rsidP="00A15232">
            <w:pPr>
              <w:pStyle w:val="ListParagraph"/>
              <w:spacing w:line="240" w:lineRule="auto"/>
              <w:ind w:left="541"/>
              <w:rPr>
                <w:rFonts w:ascii="Times New Roman" w:hAnsi="Times New Roman"/>
                <w:sz w:val="24"/>
                <w:szCs w:val="24"/>
                <w:lang w:val="ro-RO"/>
              </w:rPr>
            </w:pPr>
          </w:p>
          <w:p w14:paraId="05C4AD6D" w14:textId="77777777" w:rsidR="00A15232" w:rsidRDefault="00A53D65" w:rsidP="00A15232">
            <w:pPr>
              <w:pStyle w:val="ListParagraph"/>
              <w:numPr>
                <w:ilvl w:val="0"/>
                <w:numId w:val="3"/>
              </w:numPr>
              <w:spacing w:line="240" w:lineRule="auto"/>
              <w:rPr>
                <w:rFonts w:ascii="Times New Roman" w:hAnsi="Times New Roman"/>
                <w:sz w:val="24"/>
                <w:szCs w:val="24"/>
                <w:lang w:val="ro-RO"/>
              </w:rPr>
            </w:pPr>
            <w:r w:rsidRPr="0030110F">
              <w:rPr>
                <w:rFonts w:ascii="Times New Roman" w:hAnsi="Times New Roman"/>
                <w:sz w:val="24"/>
                <w:szCs w:val="24"/>
                <w:lang w:val="ro-RO"/>
              </w:rPr>
              <w:t>Agenția Națională pentru Protecția Mediului elaborează un raport privind nivelurile de reciclare realizate în fiecare an calendaristic în cauză și îndeplinirea nivelurilor de eficiență a reciclării menționate în anexa III, partea B. Agenția Națională pentru Protecția Mediului transmite aceste date Comisiei Europene pe cale electronică, în termen de 18 luni de la sfârșitul anului de raportare pentru care sunt colectate datele.</w:t>
            </w:r>
          </w:p>
          <w:p w14:paraId="653DE06C" w14:textId="77777777" w:rsidR="00A15232" w:rsidRPr="00A15232" w:rsidRDefault="00A15232" w:rsidP="00A15232">
            <w:pPr>
              <w:rPr>
                <w:lang w:val="ro-RO"/>
              </w:rPr>
            </w:pPr>
          </w:p>
          <w:p w14:paraId="11D7876C" w14:textId="77777777" w:rsidR="00CE6286" w:rsidRPr="0030110F" w:rsidRDefault="00A53D65" w:rsidP="00A15232">
            <w:pPr>
              <w:pStyle w:val="ListParagraph"/>
              <w:numPr>
                <w:ilvl w:val="0"/>
                <w:numId w:val="3"/>
              </w:numPr>
              <w:spacing w:line="240" w:lineRule="auto"/>
              <w:rPr>
                <w:rFonts w:ascii="Times New Roman" w:hAnsi="Times New Roman"/>
                <w:sz w:val="24"/>
                <w:szCs w:val="24"/>
                <w:lang w:val="ro-RO"/>
              </w:rPr>
            </w:pPr>
            <w:r w:rsidRPr="0030110F">
              <w:rPr>
                <w:rFonts w:ascii="Times New Roman" w:hAnsi="Times New Roman"/>
                <w:sz w:val="24"/>
                <w:szCs w:val="24"/>
                <w:lang w:val="ro-RO"/>
              </w:rPr>
              <w:t xml:space="preserve">Pentru a contribui la obiectivele stabilite în prezenta Hotărâre, </w:t>
            </w:r>
            <w:r w:rsidRPr="00EC0D14">
              <w:rPr>
                <w:rFonts w:ascii="Times New Roman" w:hAnsi="Times New Roman"/>
                <w:sz w:val="24"/>
                <w:szCs w:val="24"/>
                <w:lang w:val="ro-RO"/>
              </w:rPr>
              <w:t xml:space="preserve">Ministerul Mediului, Apelor şi Pădurilor şi </w:t>
            </w:r>
            <w:r w:rsidRPr="0030110F">
              <w:rPr>
                <w:rFonts w:ascii="Times New Roman" w:hAnsi="Times New Roman"/>
                <w:sz w:val="24"/>
                <w:szCs w:val="24"/>
                <w:lang w:val="ro-RO"/>
              </w:rPr>
              <w:t>Ministerul Economiei, Energiei şi Mediului de Afaceri</w:t>
            </w:r>
            <w:r>
              <w:rPr>
                <w:rFonts w:ascii="Times New Roman" w:hAnsi="Times New Roman"/>
                <w:sz w:val="24"/>
                <w:szCs w:val="24"/>
                <w:lang w:val="ro-RO"/>
              </w:rPr>
              <w:t xml:space="preserve"> </w:t>
            </w:r>
            <w:r w:rsidRPr="0030110F">
              <w:rPr>
                <w:rFonts w:ascii="Times New Roman" w:hAnsi="Times New Roman"/>
                <w:sz w:val="24"/>
                <w:szCs w:val="24"/>
                <w:lang w:val="ro-RO"/>
              </w:rPr>
              <w:t xml:space="preserve">pot utiliza instrumente economice și alte măsuri în scopul de a oferi stimulente pentru aplicarea ierarhiei deșeurilor, cum ar fi cele indicate în anexa </w:t>
            </w:r>
            <w:r w:rsidR="00AE3A5C" w:rsidRPr="00AE3A5C">
              <w:rPr>
                <w:rFonts w:ascii="Times New Roman" w:hAnsi="Times New Roman"/>
                <w:sz w:val="24"/>
                <w:szCs w:val="24"/>
                <w:lang w:val="ro-RO"/>
              </w:rPr>
              <w:t>IVa la Directiva 2008/98/CE privind deșeurile și de abrogare a anumitor directive, cu modificările și completările ulterioare sau alte instrumente și măsuri adecvate</w:t>
            </w:r>
            <w:r w:rsidRPr="0030110F">
              <w:rPr>
                <w:rFonts w:ascii="Times New Roman" w:hAnsi="Times New Roman"/>
                <w:sz w:val="24"/>
                <w:szCs w:val="24"/>
                <w:lang w:val="ro-RO"/>
              </w:rPr>
              <w:t>.</w:t>
            </w:r>
          </w:p>
        </w:tc>
      </w:tr>
      <w:tr w:rsidR="007F0241" w:rsidRPr="00900120" w14:paraId="4CCC74A7" w14:textId="77777777" w:rsidTr="00164FA4">
        <w:tc>
          <w:tcPr>
            <w:tcW w:w="2821" w:type="dxa"/>
          </w:tcPr>
          <w:p w14:paraId="1A1B9983" w14:textId="77777777" w:rsidR="007F0241" w:rsidRPr="00995845" w:rsidRDefault="007F0241" w:rsidP="00164FA4">
            <w:pPr>
              <w:jc w:val="both"/>
              <w:rPr>
                <w:lang w:val="ro-RO"/>
              </w:rPr>
            </w:pPr>
            <w:r w:rsidRPr="00995845">
              <w:rPr>
                <w:lang w:val="ro-RO"/>
              </w:rPr>
              <w:t>3. Alte informa</w:t>
            </w:r>
            <w:r w:rsidRPr="00995845">
              <w:rPr>
                <w:rFonts w:hAnsi="Calibri"/>
                <w:lang w:val="ro-RO"/>
              </w:rPr>
              <w:t>ț</w:t>
            </w:r>
            <w:r w:rsidRPr="00995845">
              <w:rPr>
                <w:lang w:val="ro-RO"/>
              </w:rPr>
              <w:t>ii</w:t>
            </w:r>
          </w:p>
        </w:tc>
        <w:tc>
          <w:tcPr>
            <w:tcW w:w="6719" w:type="dxa"/>
            <w:gridSpan w:val="7"/>
          </w:tcPr>
          <w:p w14:paraId="2FDD0318" w14:textId="77777777" w:rsidR="007F0241" w:rsidRPr="00995845" w:rsidRDefault="007F0241" w:rsidP="00164FA4">
            <w:pPr>
              <w:jc w:val="both"/>
              <w:rPr>
                <w:lang w:val="ro-RO"/>
              </w:rPr>
            </w:pPr>
            <w:r w:rsidRPr="0030110F">
              <w:rPr>
                <w:lang w:val="ro-RO"/>
              </w:rPr>
              <w:t xml:space="preserve">Termenul limită prevăzut de </w:t>
            </w:r>
            <w:r w:rsidR="00A53D65" w:rsidRPr="0030110F">
              <w:rPr>
                <w:lang w:val="ro-RO"/>
              </w:rPr>
              <w:t xml:space="preserve">Directiva (UE) 2018/849 </w:t>
            </w:r>
            <w:r w:rsidR="008D4438">
              <w:rPr>
                <w:lang w:val="ro-RO"/>
              </w:rPr>
              <w:t>a</w:t>
            </w:r>
            <w:r w:rsidR="00A53D65" w:rsidRPr="0030110F">
              <w:rPr>
                <w:lang w:val="ro-RO"/>
              </w:rPr>
              <w:t xml:space="preserve"> Parlamentului  European și a Consiliului din 30 mai 2018 de modificare a Directivei 2000/53/CE privind vehiculele scoase din uz, a Directivei 2006/66/CE privind bateriile și acumulatorii și deșeurile de baterii și acumulatori și a Directivei 2012/19/UE privind deșeurile de echipamente electrice și electronice</w:t>
            </w:r>
            <w:r w:rsidRPr="0030110F">
              <w:rPr>
                <w:lang w:val="ro-RO"/>
              </w:rPr>
              <w:t>, pentru preluarea măsurilor prevăzute de către aceasta</w:t>
            </w:r>
            <w:r w:rsidRPr="00995845">
              <w:rPr>
                <w:rFonts w:eastAsia="Calibri" w:cs="EUAlbertina"/>
                <w:lang w:val="ro-RO"/>
              </w:rPr>
              <w:t xml:space="preserve"> în legislația </w:t>
            </w:r>
            <w:r w:rsidRPr="00995845">
              <w:rPr>
                <w:rFonts w:eastAsia="Calibri" w:cs="EUAlbertina"/>
                <w:lang w:val="ro-RO"/>
              </w:rPr>
              <w:lastRenderedPageBreak/>
              <w:t xml:space="preserve">națională a fost stabilit pentru data de </w:t>
            </w:r>
            <w:r w:rsidR="00A53D65" w:rsidRPr="00CA368E">
              <w:rPr>
                <w:rFonts w:eastAsia="Calibri" w:cs="EUAlbertina"/>
                <w:b/>
                <w:lang w:val="ro-RO"/>
              </w:rPr>
              <w:t>05 iulie</w:t>
            </w:r>
            <w:r w:rsidRPr="00CA368E">
              <w:rPr>
                <w:rFonts w:eastAsia="Calibri" w:cs="EUAlbertina"/>
                <w:b/>
                <w:lang w:val="ro-RO"/>
              </w:rPr>
              <w:t xml:space="preserve"> 20</w:t>
            </w:r>
            <w:r w:rsidR="00A53D65" w:rsidRPr="00CA368E">
              <w:rPr>
                <w:rFonts w:eastAsia="Calibri" w:cs="EUAlbertina"/>
                <w:b/>
                <w:lang w:val="ro-RO"/>
              </w:rPr>
              <w:t>20</w:t>
            </w:r>
            <w:r w:rsidRPr="00CA368E">
              <w:rPr>
                <w:rFonts w:eastAsia="Calibri" w:cs="EUAlbertina"/>
                <w:b/>
                <w:lang w:val="ro-RO"/>
              </w:rPr>
              <w:t>.</w:t>
            </w:r>
          </w:p>
        </w:tc>
      </w:tr>
      <w:tr w:rsidR="007F0241" w:rsidRPr="00995845" w14:paraId="1E553AD3" w14:textId="77777777" w:rsidTr="00164FA4">
        <w:tc>
          <w:tcPr>
            <w:tcW w:w="9540" w:type="dxa"/>
            <w:gridSpan w:val="8"/>
          </w:tcPr>
          <w:p w14:paraId="5AA408B4" w14:textId="77777777" w:rsidR="007F0241" w:rsidRPr="00995845" w:rsidRDefault="007F0241" w:rsidP="00164FA4">
            <w:pPr>
              <w:jc w:val="both"/>
              <w:rPr>
                <w:lang w:val="ro-RO"/>
              </w:rPr>
            </w:pPr>
            <w:r w:rsidRPr="00995845">
              <w:rPr>
                <w:lang w:val="ro-RO"/>
              </w:rPr>
              <w:lastRenderedPageBreak/>
              <w:t>Secţiunea a 3-a</w:t>
            </w:r>
          </w:p>
          <w:p w14:paraId="61EEB9A8" w14:textId="77777777" w:rsidR="007F0241" w:rsidRPr="00995845" w:rsidRDefault="007F0241" w:rsidP="00164FA4">
            <w:pPr>
              <w:jc w:val="both"/>
              <w:rPr>
                <w:lang w:val="ro-RO"/>
              </w:rPr>
            </w:pPr>
            <w:r w:rsidRPr="00995845">
              <w:rPr>
                <w:lang w:val="ro-RO"/>
              </w:rPr>
              <w:t>Impactul socio-economic al proiectului de act normativ</w:t>
            </w:r>
          </w:p>
        </w:tc>
      </w:tr>
      <w:tr w:rsidR="007F0241" w:rsidRPr="00900120" w14:paraId="233E3C1E" w14:textId="77777777" w:rsidTr="00164FA4">
        <w:trPr>
          <w:trHeight w:val="415"/>
        </w:trPr>
        <w:tc>
          <w:tcPr>
            <w:tcW w:w="2821" w:type="dxa"/>
          </w:tcPr>
          <w:p w14:paraId="46BE6D7E" w14:textId="77777777" w:rsidR="007F0241" w:rsidRPr="00995845" w:rsidRDefault="007F0241" w:rsidP="00164FA4">
            <w:pPr>
              <w:jc w:val="both"/>
              <w:rPr>
                <w:lang w:val="ro-RO"/>
              </w:rPr>
            </w:pPr>
            <w:r w:rsidRPr="00995845">
              <w:rPr>
                <w:lang w:val="ro-RO"/>
              </w:rPr>
              <w:t>1.Impactul macroeconomic</w:t>
            </w:r>
          </w:p>
        </w:tc>
        <w:tc>
          <w:tcPr>
            <w:tcW w:w="6719" w:type="dxa"/>
            <w:gridSpan w:val="7"/>
          </w:tcPr>
          <w:p w14:paraId="127B677F" w14:textId="77777777" w:rsidR="007F0241" w:rsidRPr="00995845" w:rsidRDefault="007F0241" w:rsidP="00164FA4">
            <w:pPr>
              <w:jc w:val="both"/>
              <w:rPr>
                <w:lang w:val="ro-RO"/>
              </w:rPr>
            </w:pPr>
            <w:r w:rsidRPr="00995845">
              <w:rPr>
                <w:lang w:val="ro-RO"/>
              </w:rPr>
              <w:t>Proiectul de act normativ nu se referă la acest subiect.</w:t>
            </w:r>
          </w:p>
        </w:tc>
      </w:tr>
      <w:tr w:rsidR="007F0241" w:rsidRPr="00900120" w14:paraId="76838EDC" w14:textId="77777777" w:rsidTr="00164FA4">
        <w:trPr>
          <w:trHeight w:val="985"/>
        </w:trPr>
        <w:tc>
          <w:tcPr>
            <w:tcW w:w="2821" w:type="dxa"/>
          </w:tcPr>
          <w:p w14:paraId="25952198" w14:textId="77777777" w:rsidR="007F0241" w:rsidRPr="00995845" w:rsidRDefault="007F0241" w:rsidP="00164FA4">
            <w:pPr>
              <w:jc w:val="both"/>
              <w:rPr>
                <w:lang w:val="ro-RO"/>
              </w:rPr>
            </w:pPr>
            <w:r w:rsidRPr="00995845">
              <w:rPr>
                <w:lang w:val="ro-RO"/>
              </w:rPr>
              <w:t xml:space="preserve">1^1Impact asupra mediului concurenţial şi domeniului ajutoarelor de stat </w:t>
            </w:r>
          </w:p>
        </w:tc>
        <w:tc>
          <w:tcPr>
            <w:tcW w:w="6719" w:type="dxa"/>
            <w:gridSpan w:val="7"/>
          </w:tcPr>
          <w:p w14:paraId="65367DC3" w14:textId="77777777" w:rsidR="007F0241" w:rsidRPr="00995845" w:rsidRDefault="007F0241" w:rsidP="00164FA4">
            <w:pPr>
              <w:jc w:val="both"/>
              <w:rPr>
                <w:lang w:val="ro-RO"/>
              </w:rPr>
            </w:pPr>
            <w:r w:rsidRPr="00995845">
              <w:rPr>
                <w:lang w:val="ro-RO"/>
              </w:rPr>
              <w:t>Proiectul de act normativ nu se referă la acest subiect.</w:t>
            </w:r>
          </w:p>
        </w:tc>
      </w:tr>
      <w:tr w:rsidR="007F0241" w:rsidRPr="00900120" w14:paraId="441E89A6" w14:textId="77777777" w:rsidTr="00164FA4">
        <w:tc>
          <w:tcPr>
            <w:tcW w:w="2821" w:type="dxa"/>
          </w:tcPr>
          <w:p w14:paraId="300C72C7" w14:textId="77777777" w:rsidR="007F0241" w:rsidRPr="00995845" w:rsidRDefault="007F0241" w:rsidP="00164FA4">
            <w:pPr>
              <w:jc w:val="both"/>
              <w:rPr>
                <w:lang w:val="ro-RO"/>
              </w:rPr>
            </w:pPr>
            <w:r w:rsidRPr="00995845">
              <w:rPr>
                <w:lang w:val="ro-RO"/>
              </w:rPr>
              <w:t>2.Impactul asupra mediului de afaceri</w:t>
            </w:r>
          </w:p>
        </w:tc>
        <w:tc>
          <w:tcPr>
            <w:tcW w:w="6719" w:type="dxa"/>
            <w:gridSpan w:val="7"/>
          </w:tcPr>
          <w:p w14:paraId="689C02A6" w14:textId="77777777" w:rsidR="007F0241" w:rsidRPr="00995845" w:rsidRDefault="00A514BE" w:rsidP="00164FA4">
            <w:pPr>
              <w:spacing w:line="276" w:lineRule="auto"/>
              <w:jc w:val="both"/>
              <w:rPr>
                <w:sz w:val="28"/>
                <w:szCs w:val="28"/>
                <w:lang w:val="ro-RO"/>
              </w:rPr>
            </w:pPr>
            <w:r w:rsidRPr="00AC6872">
              <w:rPr>
                <w:lang w:val="ro-RO"/>
              </w:rPr>
              <w:t>Proiectul de act normativ nu se referă la acest subiect.</w:t>
            </w:r>
          </w:p>
        </w:tc>
      </w:tr>
      <w:tr w:rsidR="007F0241" w:rsidRPr="00900120" w14:paraId="1E8F5285" w14:textId="77777777" w:rsidTr="00164FA4">
        <w:trPr>
          <w:trHeight w:val="557"/>
        </w:trPr>
        <w:tc>
          <w:tcPr>
            <w:tcW w:w="2821" w:type="dxa"/>
          </w:tcPr>
          <w:p w14:paraId="62937BFF" w14:textId="77777777" w:rsidR="007F0241" w:rsidRPr="00995845" w:rsidRDefault="007F0241" w:rsidP="00164FA4">
            <w:pPr>
              <w:jc w:val="both"/>
              <w:rPr>
                <w:lang w:val="ro-RO"/>
              </w:rPr>
            </w:pPr>
            <w:r w:rsidRPr="00995845">
              <w:rPr>
                <w:lang w:val="ro-RO"/>
              </w:rPr>
              <w:t>3. Impactul social</w:t>
            </w:r>
          </w:p>
        </w:tc>
        <w:tc>
          <w:tcPr>
            <w:tcW w:w="6719" w:type="dxa"/>
            <w:gridSpan w:val="7"/>
          </w:tcPr>
          <w:p w14:paraId="4F08C58B" w14:textId="77777777" w:rsidR="007F0241" w:rsidRPr="00995845" w:rsidRDefault="00A514BE" w:rsidP="00164FA4">
            <w:pPr>
              <w:jc w:val="both"/>
              <w:rPr>
                <w:lang w:val="ro-RO"/>
              </w:rPr>
            </w:pPr>
            <w:r w:rsidRPr="00AC6872">
              <w:rPr>
                <w:lang w:val="ro-RO"/>
              </w:rPr>
              <w:t>Proiectul de act normativ nu se referă la acest subiect.</w:t>
            </w:r>
          </w:p>
        </w:tc>
      </w:tr>
      <w:tr w:rsidR="007F0241" w:rsidRPr="00900120" w14:paraId="60A6DC43" w14:textId="77777777" w:rsidTr="00164FA4">
        <w:tc>
          <w:tcPr>
            <w:tcW w:w="2821" w:type="dxa"/>
          </w:tcPr>
          <w:p w14:paraId="7B5D76CE" w14:textId="77777777" w:rsidR="007F0241" w:rsidRPr="00995845" w:rsidRDefault="007F0241" w:rsidP="00164FA4">
            <w:pPr>
              <w:jc w:val="both"/>
              <w:rPr>
                <w:lang w:val="ro-RO"/>
              </w:rPr>
            </w:pPr>
            <w:r w:rsidRPr="00995845">
              <w:rPr>
                <w:lang w:val="ro-RO"/>
              </w:rPr>
              <w:t>4.Impactul asupra mediului</w:t>
            </w:r>
          </w:p>
        </w:tc>
        <w:tc>
          <w:tcPr>
            <w:tcW w:w="6719" w:type="dxa"/>
            <w:gridSpan w:val="7"/>
          </w:tcPr>
          <w:p w14:paraId="4BA3A968" w14:textId="77777777" w:rsidR="007F0241" w:rsidRPr="00995845" w:rsidRDefault="00A514BE" w:rsidP="00164FA4">
            <w:pPr>
              <w:autoSpaceDE w:val="0"/>
              <w:autoSpaceDN w:val="0"/>
              <w:adjustRightInd w:val="0"/>
              <w:jc w:val="both"/>
              <w:rPr>
                <w:lang w:val="ro-RO"/>
              </w:rPr>
            </w:pPr>
            <w:r w:rsidRPr="004D4EC2">
              <w:rPr>
                <w:lang w:val="fr-FR"/>
              </w:rPr>
              <w:t>Proiectul de act normativ nu se referă la acest subiect.</w:t>
            </w:r>
          </w:p>
        </w:tc>
      </w:tr>
      <w:tr w:rsidR="007F0241" w:rsidRPr="00995845" w14:paraId="13008F77" w14:textId="77777777" w:rsidTr="00164FA4">
        <w:tc>
          <w:tcPr>
            <w:tcW w:w="2821" w:type="dxa"/>
          </w:tcPr>
          <w:p w14:paraId="7C5CDC3D" w14:textId="77777777" w:rsidR="007F0241" w:rsidRPr="00995845" w:rsidRDefault="007F0241" w:rsidP="00164FA4">
            <w:pPr>
              <w:jc w:val="both"/>
              <w:rPr>
                <w:lang w:val="ro-RO"/>
              </w:rPr>
            </w:pPr>
            <w:r w:rsidRPr="00995845">
              <w:rPr>
                <w:lang w:val="ro-RO"/>
              </w:rPr>
              <w:t>5. Alte informaţii</w:t>
            </w:r>
          </w:p>
        </w:tc>
        <w:tc>
          <w:tcPr>
            <w:tcW w:w="6719" w:type="dxa"/>
            <w:gridSpan w:val="7"/>
          </w:tcPr>
          <w:p w14:paraId="117A1191" w14:textId="77777777" w:rsidR="007F0241" w:rsidRPr="00995845" w:rsidRDefault="007F0241" w:rsidP="00164FA4">
            <w:pPr>
              <w:jc w:val="both"/>
              <w:rPr>
                <w:lang w:val="ro-RO"/>
              </w:rPr>
            </w:pPr>
            <w:r w:rsidRPr="00995845">
              <w:rPr>
                <w:lang w:val="ro-RO"/>
              </w:rPr>
              <w:t>Nu au fost identificate.</w:t>
            </w:r>
          </w:p>
        </w:tc>
      </w:tr>
      <w:tr w:rsidR="007F0241" w:rsidRPr="00995845" w14:paraId="610ADBBB" w14:textId="77777777" w:rsidTr="00164FA4">
        <w:trPr>
          <w:trHeight w:val="575"/>
        </w:trPr>
        <w:tc>
          <w:tcPr>
            <w:tcW w:w="9540" w:type="dxa"/>
            <w:gridSpan w:val="8"/>
          </w:tcPr>
          <w:p w14:paraId="178C8D04" w14:textId="77777777" w:rsidR="007F0241" w:rsidRPr="00995845" w:rsidRDefault="007F0241" w:rsidP="00164FA4">
            <w:pPr>
              <w:jc w:val="both"/>
              <w:rPr>
                <w:lang w:val="ro-RO"/>
              </w:rPr>
            </w:pPr>
            <w:r w:rsidRPr="00995845">
              <w:rPr>
                <w:lang w:val="ro-RO"/>
              </w:rPr>
              <w:t>Secţiunea a 4-a</w:t>
            </w:r>
          </w:p>
          <w:p w14:paraId="060AA28E" w14:textId="77777777" w:rsidR="007F0241" w:rsidRPr="00995845" w:rsidRDefault="007F0241" w:rsidP="00164FA4">
            <w:pPr>
              <w:jc w:val="both"/>
              <w:rPr>
                <w:lang w:val="ro-RO"/>
              </w:rPr>
            </w:pPr>
            <w:r w:rsidRPr="00995845">
              <w:rPr>
                <w:lang w:val="ro-RO"/>
              </w:rPr>
              <w:t>Impactul financiar asupra bugetului general consolidat, atât pe termen scurt, pentru anul curent, cât şi pe termen lung (pe 5 ani)</w:t>
            </w:r>
          </w:p>
        </w:tc>
      </w:tr>
      <w:tr w:rsidR="007F0241" w:rsidRPr="00995845" w14:paraId="240D76B5" w14:textId="77777777" w:rsidTr="00164FA4">
        <w:trPr>
          <w:trHeight w:val="256"/>
        </w:trPr>
        <w:tc>
          <w:tcPr>
            <w:tcW w:w="9540" w:type="dxa"/>
            <w:gridSpan w:val="8"/>
          </w:tcPr>
          <w:p w14:paraId="789C6CF9" w14:textId="77777777" w:rsidR="007F0241" w:rsidRPr="00995845" w:rsidRDefault="007F0241" w:rsidP="00164FA4">
            <w:pPr>
              <w:numPr>
                <w:ilvl w:val="0"/>
                <w:numId w:val="2"/>
              </w:numPr>
              <w:suppressAutoHyphens/>
              <w:jc w:val="both"/>
              <w:rPr>
                <w:lang w:val="ro-RO"/>
              </w:rPr>
            </w:pPr>
            <w:r w:rsidRPr="00995845">
              <w:rPr>
                <w:lang w:val="ro-RO"/>
              </w:rPr>
              <w:t xml:space="preserve">mii lei - </w:t>
            </w:r>
          </w:p>
        </w:tc>
      </w:tr>
      <w:tr w:rsidR="007F0241" w:rsidRPr="00995845" w14:paraId="6548649C" w14:textId="77777777" w:rsidTr="00164FA4">
        <w:trPr>
          <w:trHeight w:val="575"/>
        </w:trPr>
        <w:tc>
          <w:tcPr>
            <w:tcW w:w="2946" w:type="dxa"/>
            <w:gridSpan w:val="2"/>
          </w:tcPr>
          <w:p w14:paraId="338FC71C" w14:textId="77777777" w:rsidR="007F0241" w:rsidRPr="00995845" w:rsidRDefault="007F0241" w:rsidP="00164FA4">
            <w:pPr>
              <w:ind w:left="720"/>
              <w:jc w:val="both"/>
              <w:rPr>
                <w:lang w:val="ro-RO"/>
              </w:rPr>
            </w:pPr>
            <w:r w:rsidRPr="00995845">
              <w:rPr>
                <w:lang w:val="ro-RO"/>
              </w:rPr>
              <w:t>Indicatori</w:t>
            </w:r>
          </w:p>
        </w:tc>
        <w:tc>
          <w:tcPr>
            <w:tcW w:w="1165" w:type="dxa"/>
          </w:tcPr>
          <w:p w14:paraId="2DD65058" w14:textId="77777777" w:rsidR="007F0241" w:rsidRPr="00995845" w:rsidRDefault="007F0241" w:rsidP="00164FA4">
            <w:pPr>
              <w:jc w:val="both"/>
              <w:rPr>
                <w:lang w:val="ro-RO"/>
              </w:rPr>
            </w:pPr>
            <w:r w:rsidRPr="00995845">
              <w:rPr>
                <w:lang w:val="ro-RO"/>
              </w:rPr>
              <w:t xml:space="preserve">Anul curent </w:t>
            </w:r>
          </w:p>
        </w:tc>
        <w:tc>
          <w:tcPr>
            <w:tcW w:w="4253" w:type="dxa"/>
            <w:gridSpan w:val="4"/>
          </w:tcPr>
          <w:p w14:paraId="11D50B46" w14:textId="77777777" w:rsidR="007F0241" w:rsidRPr="00995845" w:rsidRDefault="007F0241" w:rsidP="00164FA4">
            <w:pPr>
              <w:ind w:left="720"/>
              <w:jc w:val="both"/>
              <w:rPr>
                <w:lang w:val="ro-RO"/>
              </w:rPr>
            </w:pPr>
            <w:r w:rsidRPr="00995845">
              <w:rPr>
                <w:lang w:val="ro-RO"/>
              </w:rPr>
              <w:t xml:space="preserve">Următorii 4 ani </w:t>
            </w:r>
          </w:p>
        </w:tc>
        <w:tc>
          <w:tcPr>
            <w:tcW w:w="1176" w:type="dxa"/>
          </w:tcPr>
          <w:p w14:paraId="351E44F6" w14:textId="77777777" w:rsidR="007F0241" w:rsidRPr="00995845" w:rsidRDefault="007F0241" w:rsidP="00164FA4">
            <w:pPr>
              <w:jc w:val="both"/>
              <w:rPr>
                <w:lang w:val="ro-RO"/>
              </w:rPr>
            </w:pPr>
            <w:r w:rsidRPr="00995845">
              <w:rPr>
                <w:lang w:val="ro-RO"/>
              </w:rPr>
              <w:t>Media pe 5 ani</w:t>
            </w:r>
          </w:p>
        </w:tc>
      </w:tr>
      <w:tr w:rsidR="007F0241" w:rsidRPr="00995845" w14:paraId="0B88EA8D" w14:textId="77777777" w:rsidTr="00164FA4">
        <w:trPr>
          <w:trHeight w:val="346"/>
        </w:trPr>
        <w:tc>
          <w:tcPr>
            <w:tcW w:w="2946" w:type="dxa"/>
            <w:gridSpan w:val="2"/>
          </w:tcPr>
          <w:p w14:paraId="2548AD4F" w14:textId="77777777" w:rsidR="007F0241" w:rsidRPr="00995845" w:rsidRDefault="007F0241" w:rsidP="00164FA4">
            <w:pPr>
              <w:ind w:left="720"/>
              <w:jc w:val="both"/>
              <w:rPr>
                <w:lang w:val="ro-RO"/>
              </w:rPr>
            </w:pPr>
            <w:r w:rsidRPr="00995845">
              <w:rPr>
                <w:lang w:val="ro-RO"/>
              </w:rPr>
              <w:t>1</w:t>
            </w:r>
          </w:p>
        </w:tc>
        <w:tc>
          <w:tcPr>
            <w:tcW w:w="1165" w:type="dxa"/>
          </w:tcPr>
          <w:p w14:paraId="702D741B" w14:textId="77777777" w:rsidR="007F0241" w:rsidRPr="00995845" w:rsidRDefault="007F0241" w:rsidP="00164FA4">
            <w:pPr>
              <w:ind w:left="720"/>
              <w:jc w:val="both"/>
              <w:rPr>
                <w:lang w:val="ro-RO"/>
              </w:rPr>
            </w:pPr>
            <w:r w:rsidRPr="00995845">
              <w:rPr>
                <w:lang w:val="ro-RO"/>
              </w:rPr>
              <w:t>2</w:t>
            </w:r>
          </w:p>
        </w:tc>
        <w:tc>
          <w:tcPr>
            <w:tcW w:w="992" w:type="dxa"/>
          </w:tcPr>
          <w:p w14:paraId="1ACC29CB" w14:textId="77777777" w:rsidR="007F0241" w:rsidRPr="00995845" w:rsidRDefault="007F0241" w:rsidP="00164FA4">
            <w:pPr>
              <w:ind w:left="720"/>
              <w:jc w:val="both"/>
              <w:rPr>
                <w:lang w:val="ro-RO"/>
              </w:rPr>
            </w:pPr>
            <w:r w:rsidRPr="00995845">
              <w:rPr>
                <w:lang w:val="ro-RO"/>
              </w:rPr>
              <w:t>3</w:t>
            </w:r>
          </w:p>
        </w:tc>
        <w:tc>
          <w:tcPr>
            <w:tcW w:w="993" w:type="dxa"/>
          </w:tcPr>
          <w:p w14:paraId="256C1F7F" w14:textId="77777777" w:rsidR="007F0241" w:rsidRPr="00995845" w:rsidRDefault="007F0241" w:rsidP="00164FA4">
            <w:pPr>
              <w:ind w:left="720"/>
              <w:jc w:val="both"/>
              <w:rPr>
                <w:lang w:val="ro-RO"/>
              </w:rPr>
            </w:pPr>
            <w:r w:rsidRPr="00995845">
              <w:rPr>
                <w:lang w:val="ro-RO"/>
              </w:rPr>
              <w:t>4</w:t>
            </w:r>
          </w:p>
        </w:tc>
        <w:tc>
          <w:tcPr>
            <w:tcW w:w="1134" w:type="dxa"/>
          </w:tcPr>
          <w:p w14:paraId="4001214E" w14:textId="77777777" w:rsidR="007F0241" w:rsidRPr="00995845" w:rsidRDefault="007F0241" w:rsidP="00164FA4">
            <w:pPr>
              <w:ind w:left="720"/>
              <w:jc w:val="both"/>
              <w:rPr>
                <w:lang w:val="ro-RO"/>
              </w:rPr>
            </w:pPr>
            <w:r w:rsidRPr="00995845">
              <w:rPr>
                <w:lang w:val="ro-RO"/>
              </w:rPr>
              <w:t>5</w:t>
            </w:r>
          </w:p>
        </w:tc>
        <w:tc>
          <w:tcPr>
            <w:tcW w:w="1134" w:type="dxa"/>
          </w:tcPr>
          <w:p w14:paraId="066782D5" w14:textId="77777777" w:rsidR="007F0241" w:rsidRPr="00995845" w:rsidRDefault="007F0241" w:rsidP="00164FA4">
            <w:pPr>
              <w:ind w:left="720"/>
              <w:jc w:val="both"/>
              <w:rPr>
                <w:lang w:val="ro-RO"/>
              </w:rPr>
            </w:pPr>
            <w:r w:rsidRPr="00995845">
              <w:rPr>
                <w:lang w:val="ro-RO"/>
              </w:rPr>
              <w:t>6</w:t>
            </w:r>
          </w:p>
        </w:tc>
        <w:tc>
          <w:tcPr>
            <w:tcW w:w="1176" w:type="dxa"/>
          </w:tcPr>
          <w:p w14:paraId="4C12E285" w14:textId="77777777" w:rsidR="007F0241" w:rsidRPr="00995845" w:rsidRDefault="007F0241" w:rsidP="00164FA4">
            <w:pPr>
              <w:ind w:left="720"/>
              <w:jc w:val="both"/>
              <w:rPr>
                <w:lang w:val="ro-RO"/>
              </w:rPr>
            </w:pPr>
            <w:r w:rsidRPr="00995845">
              <w:rPr>
                <w:lang w:val="ro-RO"/>
              </w:rPr>
              <w:t>7</w:t>
            </w:r>
          </w:p>
        </w:tc>
      </w:tr>
      <w:tr w:rsidR="007F0241" w:rsidRPr="00995845" w14:paraId="38E3FD18" w14:textId="77777777" w:rsidTr="00164FA4">
        <w:tc>
          <w:tcPr>
            <w:tcW w:w="2946" w:type="dxa"/>
            <w:gridSpan w:val="2"/>
            <w:tcBorders>
              <w:top w:val="single" w:sz="4" w:space="0" w:color="auto"/>
              <w:left w:val="single" w:sz="4" w:space="0" w:color="auto"/>
              <w:bottom w:val="single" w:sz="4" w:space="0" w:color="auto"/>
              <w:right w:val="single" w:sz="4" w:space="0" w:color="auto"/>
            </w:tcBorders>
          </w:tcPr>
          <w:p w14:paraId="1E9ADBB9" w14:textId="77777777" w:rsidR="007F0241" w:rsidRPr="00995845" w:rsidRDefault="007F0241" w:rsidP="00164FA4">
            <w:pPr>
              <w:jc w:val="both"/>
              <w:rPr>
                <w:lang w:val="ro-RO"/>
              </w:rPr>
            </w:pPr>
            <w:r w:rsidRPr="00995845">
              <w:rPr>
                <w:lang w:val="ro-RO"/>
              </w:rPr>
              <w:t>1.Modificări ale veniturilor bugetare</w:t>
            </w:r>
          </w:p>
        </w:tc>
        <w:tc>
          <w:tcPr>
            <w:tcW w:w="6594" w:type="dxa"/>
            <w:gridSpan w:val="6"/>
            <w:vMerge w:val="restart"/>
            <w:tcBorders>
              <w:left w:val="single" w:sz="4" w:space="0" w:color="auto"/>
            </w:tcBorders>
          </w:tcPr>
          <w:p w14:paraId="35EBFA09" w14:textId="77777777" w:rsidR="007F0241" w:rsidRPr="00995845" w:rsidRDefault="007F0241" w:rsidP="00164FA4">
            <w:pPr>
              <w:jc w:val="both"/>
              <w:rPr>
                <w:lang w:val="ro-RO"/>
              </w:rPr>
            </w:pPr>
            <w:r w:rsidRPr="00995845">
              <w:rPr>
                <w:lang w:val="ro-RO"/>
              </w:rPr>
              <w:t>Proiectul de act normativ nu are impact asupra bugetului general consolidat</w:t>
            </w:r>
          </w:p>
        </w:tc>
      </w:tr>
      <w:tr w:rsidR="007F0241" w:rsidRPr="00995845" w14:paraId="3BCDAF74" w14:textId="77777777" w:rsidTr="00164FA4">
        <w:tc>
          <w:tcPr>
            <w:tcW w:w="2946" w:type="dxa"/>
            <w:gridSpan w:val="2"/>
            <w:tcBorders>
              <w:top w:val="single" w:sz="4" w:space="0" w:color="auto"/>
              <w:left w:val="single" w:sz="4" w:space="0" w:color="auto"/>
              <w:bottom w:val="single" w:sz="4" w:space="0" w:color="auto"/>
              <w:right w:val="single" w:sz="4" w:space="0" w:color="auto"/>
            </w:tcBorders>
          </w:tcPr>
          <w:p w14:paraId="1D7142AF" w14:textId="77777777" w:rsidR="007F0241" w:rsidRPr="00995845" w:rsidRDefault="007F0241" w:rsidP="00164FA4">
            <w:pPr>
              <w:jc w:val="both"/>
              <w:rPr>
                <w:lang w:val="ro-RO"/>
              </w:rPr>
            </w:pPr>
            <w:r w:rsidRPr="00995845">
              <w:rPr>
                <w:lang w:val="ro-RO"/>
              </w:rPr>
              <w:t>2.Modificări ale cheltuielilor bugetare</w:t>
            </w:r>
          </w:p>
        </w:tc>
        <w:tc>
          <w:tcPr>
            <w:tcW w:w="6594" w:type="dxa"/>
            <w:gridSpan w:val="6"/>
            <w:vMerge/>
            <w:tcBorders>
              <w:left w:val="single" w:sz="4" w:space="0" w:color="auto"/>
            </w:tcBorders>
          </w:tcPr>
          <w:p w14:paraId="1D17F98F" w14:textId="77777777" w:rsidR="007F0241" w:rsidRPr="00995845" w:rsidRDefault="007F0241" w:rsidP="00164FA4">
            <w:pPr>
              <w:jc w:val="both"/>
              <w:rPr>
                <w:lang w:val="ro-RO"/>
              </w:rPr>
            </w:pPr>
          </w:p>
        </w:tc>
      </w:tr>
      <w:tr w:rsidR="007F0241" w:rsidRPr="00995845" w14:paraId="041DF775" w14:textId="77777777" w:rsidTr="00164FA4">
        <w:tc>
          <w:tcPr>
            <w:tcW w:w="2946" w:type="dxa"/>
            <w:gridSpan w:val="2"/>
            <w:tcBorders>
              <w:top w:val="single" w:sz="4" w:space="0" w:color="auto"/>
              <w:left w:val="single" w:sz="4" w:space="0" w:color="auto"/>
              <w:bottom w:val="single" w:sz="4" w:space="0" w:color="auto"/>
              <w:right w:val="single" w:sz="4" w:space="0" w:color="auto"/>
            </w:tcBorders>
          </w:tcPr>
          <w:p w14:paraId="5CD0BA13" w14:textId="77777777" w:rsidR="007F0241" w:rsidRPr="00995845" w:rsidRDefault="007F0241" w:rsidP="00164FA4">
            <w:pPr>
              <w:jc w:val="both"/>
              <w:rPr>
                <w:lang w:val="ro-RO"/>
              </w:rPr>
            </w:pPr>
            <w:r w:rsidRPr="00995845">
              <w:rPr>
                <w:lang w:val="ro-RO"/>
              </w:rPr>
              <w:t>3.Impact financiar</w:t>
            </w:r>
          </w:p>
        </w:tc>
        <w:tc>
          <w:tcPr>
            <w:tcW w:w="6594" w:type="dxa"/>
            <w:gridSpan w:val="6"/>
            <w:vMerge/>
            <w:tcBorders>
              <w:left w:val="single" w:sz="4" w:space="0" w:color="auto"/>
            </w:tcBorders>
          </w:tcPr>
          <w:p w14:paraId="4E7F48F0" w14:textId="77777777" w:rsidR="007F0241" w:rsidRPr="00995845" w:rsidRDefault="007F0241" w:rsidP="00164FA4">
            <w:pPr>
              <w:jc w:val="both"/>
              <w:rPr>
                <w:lang w:val="ro-RO"/>
              </w:rPr>
            </w:pPr>
          </w:p>
        </w:tc>
      </w:tr>
      <w:tr w:rsidR="007F0241" w:rsidRPr="00995845" w14:paraId="24D2FC7B" w14:textId="77777777" w:rsidTr="00164FA4">
        <w:trPr>
          <w:trHeight w:val="1099"/>
        </w:trPr>
        <w:tc>
          <w:tcPr>
            <w:tcW w:w="2946" w:type="dxa"/>
            <w:gridSpan w:val="2"/>
            <w:tcBorders>
              <w:top w:val="single" w:sz="4" w:space="0" w:color="auto"/>
              <w:left w:val="single" w:sz="4" w:space="0" w:color="auto"/>
              <w:bottom w:val="single" w:sz="4" w:space="0" w:color="auto"/>
              <w:right w:val="single" w:sz="4" w:space="0" w:color="auto"/>
            </w:tcBorders>
          </w:tcPr>
          <w:p w14:paraId="0CAAF5EF" w14:textId="77777777" w:rsidR="007F0241" w:rsidRPr="00995845" w:rsidRDefault="007F0241" w:rsidP="00164FA4">
            <w:pPr>
              <w:jc w:val="both"/>
              <w:rPr>
                <w:lang w:val="ro-RO"/>
              </w:rPr>
            </w:pPr>
            <w:r w:rsidRPr="00995845">
              <w:rPr>
                <w:lang w:val="ro-RO"/>
              </w:rPr>
              <w:t>4.Propuneri pentru acoperirea creşterii cheltuielilor bugetare</w:t>
            </w:r>
          </w:p>
        </w:tc>
        <w:tc>
          <w:tcPr>
            <w:tcW w:w="6594" w:type="dxa"/>
            <w:gridSpan w:val="6"/>
            <w:vMerge/>
            <w:tcBorders>
              <w:left w:val="single" w:sz="4" w:space="0" w:color="auto"/>
            </w:tcBorders>
          </w:tcPr>
          <w:p w14:paraId="15A98EAB" w14:textId="77777777" w:rsidR="007F0241" w:rsidRPr="00995845" w:rsidRDefault="007F0241" w:rsidP="00164FA4">
            <w:pPr>
              <w:jc w:val="both"/>
              <w:rPr>
                <w:lang w:val="ro-RO"/>
              </w:rPr>
            </w:pPr>
          </w:p>
        </w:tc>
      </w:tr>
      <w:tr w:rsidR="007F0241" w:rsidRPr="00995845" w14:paraId="6A759498" w14:textId="77777777" w:rsidTr="00164FA4">
        <w:trPr>
          <w:trHeight w:val="1096"/>
        </w:trPr>
        <w:tc>
          <w:tcPr>
            <w:tcW w:w="2946" w:type="dxa"/>
            <w:gridSpan w:val="2"/>
            <w:tcBorders>
              <w:top w:val="single" w:sz="4" w:space="0" w:color="auto"/>
              <w:bottom w:val="single" w:sz="4" w:space="0" w:color="000000"/>
              <w:right w:val="single" w:sz="4" w:space="0" w:color="auto"/>
            </w:tcBorders>
          </w:tcPr>
          <w:p w14:paraId="4D2CC3AA" w14:textId="77777777" w:rsidR="007F0241" w:rsidRPr="00995845" w:rsidRDefault="007F0241" w:rsidP="00164FA4">
            <w:pPr>
              <w:tabs>
                <w:tab w:val="left" w:pos="284"/>
              </w:tabs>
              <w:jc w:val="both"/>
              <w:rPr>
                <w:lang w:val="ro-RO"/>
              </w:rPr>
            </w:pPr>
            <w:r w:rsidRPr="00995845">
              <w:rPr>
                <w:lang w:val="ro-RO"/>
              </w:rPr>
              <w:t>5.Propuneri pentru a</w:t>
            </w:r>
          </w:p>
          <w:p w14:paraId="495B2773" w14:textId="77777777" w:rsidR="007F0241" w:rsidRPr="00995845" w:rsidRDefault="007F0241" w:rsidP="00164FA4">
            <w:pPr>
              <w:tabs>
                <w:tab w:val="left" w:pos="284"/>
              </w:tabs>
              <w:jc w:val="both"/>
              <w:rPr>
                <w:lang w:val="ro-RO"/>
              </w:rPr>
            </w:pPr>
            <w:r w:rsidRPr="00995845">
              <w:rPr>
                <w:lang w:val="ro-RO"/>
              </w:rPr>
              <w:t xml:space="preserve"> compensa reducerea veniturilor bugetare</w:t>
            </w:r>
          </w:p>
        </w:tc>
        <w:tc>
          <w:tcPr>
            <w:tcW w:w="6594" w:type="dxa"/>
            <w:gridSpan w:val="6"/>
            <w:vMerge/>
            <w:tcBorders>
              <w:left w:val="single" w:sz="4" w:space="0" w:color="auto"/>
              <w:bottom w:val="single" w:sz="4" w:space="0" w:color="000000"/>
            </w:tcBorders>
          </w:tcPr>
          <w:p w14:paraId="490546AF" w14:textId="77777777" w:rsidR="007F0241" w:rsidRPr="00995845" w:rsidRDefault="007F0241" w:rsidP="00164FA4">
            <w:pPr>
              <w:jc w:val="both"/>
              <w:rPr>
                <w:lang w:val="ro-RO"/>
              </w:rPr>
            </w:pPr>
          </w:p>
        </w:tc>
      </w:tr>
      <w:tr w:rsidR="007F0241" w:rsidRPr="00995845" w14:paraId="2641C695" w14:textId="77777777" w:rsidTr="00164FA4">
        <w:tc>
          <w:tcPr>
            <w:tcW w:w="2946" w:type="dxa"/>
            <w:gridSpan w:val="2"/>
            <w:tcBorders>
              <w:right w:val="single" w:sz="4" w:space="0" w:color="auto"/>
            </w:tcBorders>
          </w:tcPr>
          <w:p w14:paraId="3BD27013" w14:textId="77777777" w:rsidR="007F0241" w:rsidRPr="00995845" w:rsidRDefault="007F0241" w:rsidP="00164FA4">
            <w:pPr>
              <w:jc w:val="both"/>
              <w:rPr>
                <w:lang w:val="ro-RO"/>
              </w:rPr>
            </w:pPr>
            <w:r w:rsidRPr="00995845">
              <w:rPr>
                <w:lang w:val="ro-RO"/>
              </w:rPr>
              <w:t>6.Calcule detaliate privind fundamentarea modificărilor veniturilor şi/sau cheltuielilor bugetare</w:t>
            </w:r>
          </w:p>
        </w:tc>
        <w:tc>
          <w:tcPr>
            <w:tcW w:w="6594" w:type="dxa"/>
            <w:gridSpan w:val="6"/>
            <w:vMerge/>
            <w:tcBorders>
              <w:left w:val="single" w:sz="4" w:space="0" w:color="auto"/>
            </w:tcBorders>
          </w:tcPr>
          <w:p w14:paraId="13224F1D" w14:textId="77777777" w:rsidR="007F0241" w:rsidRPr="00995845" w:rsidRDefault="007F0241" w:rsidP="00164FA4">
            <w:pPr>
              <w:jc w:val="both"/>
              <w:rPr>
                <w:lang w:val="ro-RO"/>
              </w:rPr>
            </w:pPr>
          </w:p>
        </w:tc>
      </w:tr>
      <w:tr w:rsidR="007F0241" w:rsidRPr="00995845" w14:paraId="5344F323" w14:textId="77777777" w:rsidTr="00164FA4">
        <w:tc>
          <w:tcPr>
            <w:tcW w:w="2946" w:type="dxa"/>
            <w:gridSpan w:val="2"/>
          </w:tcPr>
          <w:p w14:paraId="446BFAB3" w14:textId="77777777" w:rsidR="007F0241" w:rsidRPr="00995845" w:rsidRDefault="007F0241" w:rsidP="00164FA4">
            <w:pPr>
              <w:jc w:val="both"/>
              <w:rPr>
                <w:lang w:val="ro-RO"/>
              </w:rPr>
            </w:pPr>
            <w:r w:rsidRPr="00995845">
              <w:rPr>
                <w:lang w:val="ro-RO"/>
              </w:rPr>
              <w:t>7. Alte informaţii</w:t>
            </w:r>
          </w:p>
        </w:tc>
        <w:tc>
          <w:tcPr>
            <w:tcW w:w="6594" w:type="dxa"/>
            <w:gridSpan w:val="6"/>
          </w:tcPr>
          <w:p w14:paraId="7D7D842F" w14:textId="77777777" w:rsidR="007F0241" w:rsidRPr="00995845" w:rsidRDefault="007F0241" w:rsidP="00164FA4">
            <w:pPr>
              <w:jc w:val="both"/>
              <w:rPr>
                <w:lang w:val="ro-RO"/>
              </w:rPr>
            </w:pPr>
            <w:r w:rsidRPr="00995845">
              <w:rPr>
                <w:lang w:val="ro-RO"/>
              </w:rPr>
              <w:t>Nu au fost identificate.</w:t>
            </w:r>
          </w:p>
        </w:tc>
      </w:tr>
      <w:tr w:rsidR="007F0241" w:rsidRPr="00995845" w14:paraId="71765907" w14:textId="77777777" w:rsidTr="00164FA4">
        <w:tc>
          <w:tcPr>
            <w:tcW w:w="9540" w:type="dxa"/>
            <w:gridSpan w:val="8"/>
          </w:tcPr>
          <w:p w14:paraId="17306D7E" w14:textId="77777777" w:rsidR="007F0241" w:rsidRPr="00995845" w:rsidRDefault="007F0241" w:rsidP="00164FA4">
            <w:pPr>
              <w:jc w:val="both"/>
              <w:rPr>
                <w:lang w:val="ro-RO"/>
              </w:rPr>
            </w:pPr>
            <w:r w:rsidRPr="00995845">
              <w:rPr>
                <w:lang w:val="ro-RO"/>
              </w:rPr>
              <w:t>Secţiunea a 5-a</w:t>
            </w:r>
          </w:p>
          <w:p w14:paraId="37E54434" w14:textId="77777777" w:rsidR="007F0241" w:rsidRPr="00995845" w:rsidRDefault="007F0241" w:rsidP="00164FA4">
            <w:pPr>
              <w:jc w:val="both"/>
              <w:rPr>
                <w:lang w:val="ro-RO"/>
              </w:rPr>
            </w:pPr>
            <w:r w:rsidRPr="00995845">
              <w:rPr>
                <w:lang w:val="ro-RO"/>
              </w:rPr>
              <w:t>Efectele proiectului de act normativ asupra legislaţiei în vigoare</w:t>
            </w:r>
          </w:p>
        </w:tc>
      </w:tr>
      <w:tr w:rsidR="007F0241" w:rsidRPr="00900120" w14:paraId="7F3831BB" w14:textId="77777777" w:rsidTr="00164FA4">
        <w:tc>
          <w:tcPr>
            <w:tcW w:w="4111" w:type="dxa"/>
            <w:gridSpan w:val="3"/>
          </w:tcPr>
          <w:p w14:paraId="64424F16" w14:textId="77777777" w:rsidR="007F0241" w:rsidRPr="00995845" w:rsidRDefault="007F0241" w:rsidP="00164FA4">
            <w:pPr>
              <w:tabs>
                <w:tab w:val="left" w:pos="284"/>
                <w:tab w:val="left" w:pos="426"/>
              </w:tabs>
              <w:jc w:val="both"/>
              <w:rPr>
                <w:lang w:val="ro-RO"/>
              </w:rPr>
            </w:pPr>
            <w:r w:rsidRPr="00995845">
              <w:rPr>
                <w:lang w:val="ro-RO"/>
              </w:rPr>
              <w:t>1.Măsuri normative necesare pentru aplicarea prevederilor proiectului de act normativ:</w:t>
            </w:r>
          </w:p>
          <w:p w14:paraId="5EE0EE69" w14:textId="77777777" w:rsidR="007F0241" w:rsidRPr="00995845" w:rsidRDefault="007F0241" w:rsidP="00164FA4">
            <w:pPr>
              <w:numPr>
                <w:ilvl w:val="0"/>
                <w:numId w:val="1"/>
              </w:numPr>
              <w:tabs>
                <w:tab w:val="left" w:pos="426"/>
              </w:tabs>
              <w:suppressAutoHyphens/>
              <w:ind w:left="142" w:firstLine="0"/>
              <w:jc w:val="both"/>
              <w:rPr>
                <w:lang w:val="ro-RO"/>
              </w:rPr>
            </w:pPr>
            <w:r w:rsidRPr="00995845">
              <w:rPr>
                <w:lang w:val="ro-RO"/>
              </w:rPr>
              <w:t xml:space="preserve">acte normative în vigoare ce vor fi modificate sau abrogate, ca urmare a intrării în vigoare a proiectului de act </w:t>
            </w:r>
            <w:r w:rsidRPr="00995845">
              <w:rPr>
                <w:lang w:val="ro-RO"/>
              </w:rPr>
              <w:lastRenderedPageBreak/>
              <w:t>normativ;</w:t>
            </w:r>
          </w:p>
          <w:p w14:paraId="76270FCD" w14:textId="77777777" w:rsidR="007F0241" w:rsidRPr="00995845" w:rsidRDefault="007F0241" w:rsidP="00164FA4">
            <w:pPr>
              <w:numPr>
                <w:ilvl w:val="0"/>
                <w:numId w:val="1"/>
              </w:numPr>
              <w:tabs>
                <w:tab w:val="left" w:pos="426"/>
              </w:tabs>
              <w:suppressAutoHyphens/>
              <w:ind w:left="142" w:firstLine="0"/>
              <w:jc w:val="both"/>
              <w:rPr>
                <w:lang w:val="ro-RO"/>
              </w:rPr>
            </w:pPr>
            <w:r w:rsidRPr="00995845">
              <w:rPr>
                <w:lang w:val="ro-RO"/>
              </w:rPr>
              <w:t>acte normative ce urmează a fi elaborate în vederea implementării noilor dispoziţii.</w:t>
            </w:r>
          </w:p>
        </w:tc>
        <w:tc>
          <w:tcPr>
            <w:tcW w:w="5429" w:type="dxa"/>
            <w:gridSpan w:val="5"/>
          </w:tcPr>
          <w:p w14:paraId="53962D9F" w14:textId="25368840" w:rsidR="007F0241" w:rsidRPr="00995845" w:rsidRDefault="00783026" w:rsidP="00164FA4">
            <w:pPr>
              <w:autoSpaceDE w:val="0"/>
              <w:autoSpaceDN w:val="0"/>
              <w:adjustRightInd w:val="0"/>
              <w:jc w:val="both"/>
              <w:rPr>
                <w:lang w:val="ro-RO"/>
              </w:rPr>
            </w:pPr>
            <w:r w:rsidRPr="00995845">
              <w:rPr>
                <w:lang w:val="ro-RO"/>
              </w:rPr>
              <w:lastRenderedPageBreak/>
              <w:t>Proiectul de act normativ nu se referă la acest subiect</w:t>
            </w:r>
            <w:r w:rsidR="0030110F">
              <w:rPr>
                <w:lang w:val="ro-RO"/>
              </w:rPr>
              <w:t>.</w:t>
            </w:r>
          </w:p>
          <w:p w14:paraId="43611A3B" w14:textId="77777777" w:rsidR="007F0241" w:rsidRPr="00995845" w:rsidRDefault="007F0241" w:rsidP="00164FA4">
            <w:pPr>
              <w:spacing w:line="360" w:lineRule="auto"/>
              <w:ind w:firstLine="360"/>
              <w:rPr>
                <w:lang w:val="ro-RO"/>
              </w:rPr>
            </w:pPr>
          </w:p>
        </w:tc>
      </w:tr>
      <w:tr w:rsidR="007F0241" w:rsidRPr="00900120" w14:paraId="0511F2FA" w14:textId="77777777" w:rsidTr="00164FA4">
        <w:tc>
          <w:tcPr>
            <w:tcW w:w="4111" w:type="dxa"/>
            <w:gridSpan w:val="3"/>
          </w:tcPr>
          <w:p w14:paraId="29D8CD25" w14:textId="77777777" w:rsidR="007F0241" w:rsidRPr="00995845" w:rsidRDefault="007F0241" w:rsidP="00164FA4">
            <w:pPr>
              <w:jc w:val="both"/>
              <w:rPr>
                <w:rFonts w:eastAsia="Calibri" w:cs="EUAlbertina"/>
                <w:lang w:val="ro-RO"/>
              </w:rPr>
            </w:pPr>
            <w:r w:rsidRPr="00995845">
              <w:rPr>
                <w:rFonts w:eastAsia="Calibri" w:cs="EUAlbertina"/>
                <w:lang w:val="ro-RO"/>
              </w:rPr>
              <w:t>2. Conformitatea proiectului de act normativ cu legislaţia comunitară în cazul proiectelor ce transpun prevederi comunitare.</w:t>
            </w:r>
          </w:p>
        </w:tc>
        <w:tc>
          <w:tcPr>
            <w:tcW w:w="5429" w:type="dxa"/>
            <w:gridSpan w:val="5"/>
          </w:tcPr>
          <w:p w14:paraId="7D42C1CE" w14:textId="77777777" w:rsidR="007F0241" w:rsidRPr="00A514BE" w:rsidRDefault="007F0241" w:rsidP="00B33B3D">
            <w:pPr>
              <w:pStyle w:val="Default"/>
              <w:jc w:val="both"/>
              <w:rPr>
                <w:rFonts w:ascii="Times New Roman" w:eastAsia="Times New Roman" w:hAnsi="Times New Roman" w:cs="Times New Roman"/>
                <w:color w:val="auto"/>
                <w:lang w:eastAsia="en-US"/>
              </w:rPr>
            </w:pPr>
            <w:r w:rsidRPr="00995845">
              <w:rPr>
                <w:rFonts w:ascii="Times New Roman" w:hAnsi="Times New Roman"/>
                <w:color w:val="auto"/>
                <w:lang w:eastAsia="en-US"/>
              </w:rPr>
              <w:t xml:space="preserve">Prezentul act normativ este conform cu </w:t>
            </w:r>
            <w:r w:rsidR="00B52925">
              <w:rPr>
                <w:rFonts w:ascii="Times New Roman" w:hAnsi="Times New Roman"/>
                <w:color w:val="auto"/>
                <w:lang w:eastAsia="en-US"/>
              </w:rPr>
              <w:t>prevederile</w:t>
            </w:r>
            <w:r w:rsidR="00A514BE">
              <w:rPr>
                <w:rFonts w:ascii="Times New Roman" w:hAnsi="Times New Roman"/>
                <w:color w:val="auto"/>
                <w:lang w:eastAsia="en-US"/>
              </w:rPr>
              <w:t xml:space="preserve"> </w:t>
            </w:r>
            <w:r w:rsidR="00A514BE">
              <w:rPr>
                <w:rFonts w:ascii="Times New Roman" w:eastAsia="Times New Roman" w:hAnsi="Times New Roman" w:cs="Times New Roman"/>
                <w:color w:val="auto"/>
                <w:lang w:eastAsia="en-US"/>
              </w:rPr>
              <w:t xml:space="preserve">art.2 din </w:t>
            </w:r>
            <w:r w:rsidR="00A514BE" w:rsidRPr="00487EC4">
              <w:rPr>
                <w:rFonts w:ascii="Times New Roman" w:eastAsia="Times New Roman" w:hAnsi="Times New Roman" w:cs="Times New Roman"/>
                <w:color w:val="auto"/>
                <w:lang w:eastAsia="en-US"/>
              </w:rPr>
              <w:t xml:space="preserve">Directiva (UE) 2018/849 </w:t>
            </w:r>
            <w:r w:rsidR="00EA5CC3">
              <w:rPr>
                <w:rFonts w:ascii="Times New Roman" w:eastAsia="Times New Roman" w:hAnsi="Times New Roman" w:cs="Times New Roman"/>
                <w:color w:val="auto"/>
                <w:lang w:eastAsia="en-US"/>
              </w:rPr>
              <w:t>a</w:t>
            </w:r>
            <w:r w:rsidR="00EA5CC3" w:rsidRPr="00487EC4">
              <w:rPr>
                <w:rFonts w:ascii="Times New Roman" w:eastAsia="Times New Roman" w:hAnsi="Times New Roman" w:cs="Times New Roman"/>
                <w:color w:val="auto"/>
                <w:lang w:eastAsia="en-US"/>
              </w:rPr>
              <w:t xml:space="preserve"> </w:t>
            </w:r>
            <w:r w:rsidR="00A514BE" w:rsidRPr="00487EC4">
              <w:rPr>
                <w:rFonts w:ascii="Times New Roman" w:eastAsia="Times New Roman" w:hAnsi="Times New Roman" w:cs="Times New Roman"/>
                <w:color w:val="auto"/>
                <w:lang w:eastAsia="en-US"/>
              </w:rPr>
              <w:t>Parlamentului  European și a Consiliului din 30 mai 2018 de modificare a Directivei 2000/53/CE privind vehiculele scoase din uz, a Directivei 2006/66/CE privind bateriile și acumulatorii și deșeurile de baterii și acumulatori și a Directivei 2012/19/UE privind deșeurile de echipamente electrice și electronice, publicată în Jurnalul Oficial al Uniunii Europene, seria L, nr. 150 din 14 iunie 2018.</w:t>
            </w:r>
          </w:p>
        </w:tc>
      </w:tr>
      <w:tr w:rsidR="007F0241" w:rsidRPr="00900120" w14:paraId="7E27E30A" w14:textId="77777777" w:rsidTr="00164FA4">
        <w:tc>
          <w:tcPr>
            <w:tcW w:w="4111" w:type="dxa"/>
            <w:gridSpan w:val="3"/>
          </w:tcPr>
          <w:p w14:paraId="1CA30D1B" w14:textId="77777777" w:rsidR="007F0241" w:rsidRPr="00995845" w:rsidRDefault="007F0241" w:rsidP="00164FA4">
            <w:pPr>
              <w:tabs>
                <w:tab w:val="left" w:pos="284"/>
              </w:tabs>
              <w:jc w:val="both"/>
              <w:rPr>
                <w:lang w:val="ro-RO"/>
              </w:rPr>
            </w:pPr>
            <w:r w:rsidRPr="00995845">
              <w:rPr>
                <w:lang w:val="ro-RO"/>
              </w:rPr>
              <w:t>3.Măsuri normative necesare aplicării directe a actelor normative comunitare</w:t>
            </w:r>
          </w:p>
        </w:tc>
        <w:tc>
          <w:tcPr>
            <w:tcW w:w="5429" w:type="dxa"/>
            <w:gridSpan w:val="5"/>
          </w:tcPr>
          <w:p w14:paraId="363A85B3" w14:textId="77777777" w:rsidR="007F0241" w:rsidRPr="00995845" w:rsidRDefault="007F0241" w:rsidP="00164FA4">
            <w:pPr>
              <w:jc w:val="both"/>
              <w:rPr>
                <w:lang w:val="ro-RO"/>
              </w:rPr>
            </w:pPr>
            <w:r w:rsidRPr="00995845">
              <w:rPr>
                <w:lang w:val="ro-RO"/>
              </w:rPr>
              <w:t>Proiectul de act normativ nu se referă la acest subiect.</w:t>
            </w:r>
          </w:p>
        </w:tc>
      </w:tr>
      <w:tr w:rsidR="007F0241" w:rsidRPr="00900120" w14:paraId="148C7859" w14:textId="77777777" w:rsidTr="00164FA4">
        <w:tc>
          <w:tcPr>
            <w:tcW w:w="4111" w:type="dxa"/>
            <w:gridSpan w:val="3"/>
          </w:tcPr>
          <w:p w14:paraId="5B3DED9E" w14:textId="77777777" w:rsidR="007F0241" w:rsidRPr="00995845" w:rsidRDefault="007F0241" w:rsidP="00164FA4">
            <w:pPr>
              <w:jc w:val="both"/>
              <w:rPr>
                <w:lang w:val="ro-RO"/>
              </w:rPr>
            </w:pPr>
            <w:r w:rsidRPr="00995845">
              <w:rPr>
                <w:lang w:val="ro-RO"/>
              </w:rPr>
              <w:t>4.Hotărâri ale Curţii de Justiţie a Uniunii Europene</w:t>
            </w:r>
          </w:p>
        </w:tc>
        <w:tc>
          <w:tcPr>
            <w:tcW w:w="5429" w:type="dxa"/>
            <w:gridSpan w:val="5"/>
          </w:tcPr>
          <w:p w14:paraId="71D1B152" w14:textId="77777777" w:rsidR="007F0241" w:rsidRPr="00995845" w:rsidRDefault="007F0241" w:rsidP="00164FA4">
            <w:pPr>
              <w:jc w:val="both"/>
              <w:rPr>
                <w:lang w:val="ro-RO"/>
              </w:rPr>
            </w:pPr>
            <w:r w:rsidRPr="00995845">
              <w:rPr>
                <w:lang w:val="ro-RO"/>
              </w:rPr>
              <w:t>Proiectul de act normativ nu se referă la acest subiect.</w:t>
            </w:r>
          </w:p>
        </w:tc>
      </w:tr>
      <w:tr w:rsidR="007F0241" w:rsidRPr="00900120" w14:paraId="05DD4F91" w14:textId="77777777" w:rsidTr="00164FA4">
        <w:tc>
          <w:tcPr>
            <w:tcW w:w="4111" w:type="dxa"/>
            <w:gridSpan w:val="3"/>
          </w:tcPr>
          <w:p w14:paraId="6BF1B4FD" w14:textId="77777777" w:rsidR="007F0241" w:rsidRPr="00995845" w:rsidRDefault="007F0241" w:rsidP="00164FA4">
            <w:pPr>
              <w:jc w:val="both"/>
              <w:rPr>
                <w:lang w:val="ro-RO"/>
              </w:rPr>
            </w:pPr>
            <w:r w:rsidRPr="00995845">
              <w:rPr>
                <w:lang w:val="ro-RO"/>
              </w:rPr>
              <w:t>5.Alte acte normative şi/sau documente internaţionale din care decurg angajamente</w:t>
            </w:r>
          </w:p>
        </w:tc>
        <w:tc>
          <w:tcPr>
            <w:tcW w:w="5429" w:type="dxa"/>
            <w:gridSpan w:val="5"/>
          </w:tcPr>
          <w:p w14:paraId="32B932C4" w14:textId="77777777" w:rsidR="007F0241" w:rsidRPr="00995845" w:rsidRDefault="007F0241" w:rsidP="00164FA4">
            <w:pPr>
              <w:jc w:val="both"/>
              <w:rPr>
                <w:lang w:val="ro-RO"/>
              </w:rPr>
            </w:pPr>
            <w:r w:rsidRPr="00995845">
              <w:rPr>
                <w:lang w:val="ro-RO"/>
              </w:rPr>
              <w:t>Proiectul de act normativ nu se referă la acest subiect.</w:t>
            </w:r>
          </w:p>
        </w:tc>
      </w:tr>
      <w:tr w:rsidR="007F0241" w:rsidRPr="00995845" w14:paraId="35704E19" w14:textId="77777777" w:rsidTr="00164FA4">
        <w:trPr>
          <w:trHeight w:val="287"/>
        </w:trPr>
        <w:tc>
          <w:tcPr>
            <w:tcW w:w="4111" w:type="dxa"/>
            <w:gridSpan w:val="3"/>
          </w:tcPr>
          <w:p w14:paraId="1642104C" w14:textId="77777777" w:rsidR="007F0241" w:rsidRPr="00995845" w:rsidRDefault="007F0241" w:rsidP="00164FA4">
            <w:pPr>
              <w:jc w:val="both"/>
              <w:rPr>
                <w:lang w:val="ro-RO"/>
              </w:rPr>
            </w:pPr>
            <w:r w:rsidRPr="00995845">
              <w:rPr>
                <w:lang w:val="ro-RO"/>
              </w:rPr>
              <w:t>6. Alte informaţii</w:t>
            </w:r>
          </w:p>
        </w:tc>
        <w:tc>
          <w:tcPr>
            <w:tcW w:w="5429" w:type="dxa"/>
            <w:gridSpan w:val="5"/>
          </w:tcPr>
          <w:p w14:paraId="7F77E3EF" w14:textId="77777777" w:rsidR="007F0241" w:rsidRPr="00995845" w:rsidRDefault="007F0241" w:rsidP="00164FA4">
            <w:pPr>
              <w:jc w:val="both"/>
              <w:rPr>
                <w:lang w:val="ro-RO"/>
              </w:rPr>
            </w:pPr>
            <w:r w:rsidRPr="00995845">
              <w:rPr>
                <w:lang w:val="ro-RO"/>
              </w:rPr>
              <w:t>Nu au fost identificate.</w:t>
            </w:r>
          </w:p>
        </w:tc>
      </w:tr>
      <w:tr w:rsidR="007F0241" w:rsidRPr="00995845" w14:paraId="568E7C29" w14:textId="77777777" w:rsidTr="00164FA4">
        <w:tc>
          <w:tcPr>
            <w:tcW w:w="9540" w:type="dxa"/>
            <w:gridSpan w:val="8"/>
          </w:tcPr>
          <w:p w14:paraId="3070DBBE" w14:textId="77777777" w:rsidR="007F0241" w:rsidRPr="00995845" w:rsidRDefault="007F0241" w:rsidP="00164FA4">
            <w:pPr>
              <w:jc w:val="both"/>
              <w:rPr>
                <w:lang w:val="ro-RO"/>
              </w:rPr>
            </w:pPr>
            <w:r w:rsidRPr="00995845">
              <w:rPr>
                <w:lang w:val="ro-RO"/>
              </w:rPr>
              <w:t>Secţiunea a 6-a</w:t>
            </w:r>
          </w:p>
          <w:p w14:paraId="74AAC683" w14:textId="77777777" w:rsidR="007F0241" w:rsidRPr="00995845" w:rsidRDefault="007F0241" w:rsidP="00164FA4">
            <w:pPr>
              <w:jc w:val="both"/>
              <w:rPr>
                <w:lang w:val="ro-RO"/>
              </w:rPr>
            </w:pPr>
            <w:r w:rsidRPr="00995845">
              <w:rPr>
                <w:lang w:val="ro-RO"/>
              </w:rPr>
              <w:t>Consultările efectuate în vederea elaborării proiectului de act normativ</w:t>
            </w:r>
          </w:p>
        </w:tc>
      </w:tr>
      <w:tr w:rsidR="007F0241" w:rsidRPr="00900120" w14:paraId="7DC9F754" w14:textId="77777777" w:rsidTr="00164FA4">
        <w:tc>
          <w:tcPr>
            <w:tcW w:w="4111" w:type="dxa"/>
            <w:gridSpan w:val="3"/>
          </w:tcPr>
          <w:p w14:paraId="333E1261" w14:textId="77777777" w:rsidR="007F0241" w:rsidRPr="00995845" w:rsidRDefault="007F0241" w:rsidP="00164FA4">
            <w:pPr>
              <w:jc w:val="both"/>
              <w:rPr>
                <w:lang w:val="ro-RO"/>
              </w:rPr>
            </w:pPr>
            <w:r w:rsidRPr="00995845">
              <w:rPr>
                <w:lang w:val="ro-RO"/>
              </w:rPr>
              <w:t>1.Informaţii privind procesul de consultare cu organizaţii neguvernamentale, institute de cercetare şi alte organisme implicate</w:t>
            </w:r>
          </w:p>
        </w:tc>
        <w:tc>
          <w:tcPr>
            <w:tcW w:w="5429" w:type="dxa"/>
            <w:gridSpan w:val="5"/>
          </w:tcPr>
          <w:p w14:paraId="6F53D2C6" w14:textId="77777777" w:rsidR="007F0241" w:rsidRPr="00995845" w:rsidRDefault="007F0241" w:rsidP="00164FA4">
            <w:pPr>
              <w:jc w:val="both"/>
              <w:rPr>
                <w:lang w:val="ro-RO"/>
              </w:rPr>
            </w:pPr>
          </w:p>
        </w:tc>
      </w:tr>
      <w:tr w:rsidR="007F0241" w:rsidRPr="00995845" w14:paraId="2C7DE745" w14:textId="77777777" w:rsidTr="00164FA4">
        <w:tc>
          <w:tcPr>
            <w:tcW w:w="4111" w:type="dxa"/>
            <w:gridSpan w:val="3"/>
          </w:tcPr>
          <w:p w14:paraId="48224607" w14:textId="77777777" w:rsidR="007F0241" w:rsidRPr="00995845" w:rsidRDefault="007F0241" w:rsidP="00164FA4">
            <w:pPr>
              <w:jc w:val="both"/>
              <w:rPr>
                <w:lang w:val="ro-RO"/>
              </w:rPr>
            </w:pPr>
            <w:r w:rsidRPr="00995845">
              <w:rPr>
                <w:lang w:val="ro-RO"/>
              </w:rPr>
              <w:t>2.Fundamentarea alegerii organizaţiilor cu care a avut loc consultarea, precum şi a modului  în care activitatea acestor organizaţii este legată de obiectul proiectului de act normativ</w:t>
            </w:r>
          </w:p>
        </w:tc>
        <w:tc>
          <w:tcPr>
            <w:tcW w:w="5429" w:type="dxa"/>
            <w:gridSpan w:val="5"/>
          </w:tcPr>
          <w:p w14:paraId="65E565C3" w14:textId="77777777" w:rsidR="007F0241" w:rsidRPr="00995845" w:rsidRDefault="007F0241" w:rsidP="00164FA4">
            <w:pPr>
              <w:jc w:val="both"/>
              <w:rPr>
                <w:lang w:val="ro-RO"/>
              </w:rPr>
            </w:pPr>
          </w:p>
        </w:tc>
      </w:tr>
      <w:tr w:rsidR="007F0241" w:rsidRPr="00900120" w14:paraId="75EBAE06" w14:textId="77777777" w:rsidTr="00164FA4">
        <w:tc>
          <w:tcPr>
            <w:tcW w:w="4111" w:type="dxa"/>
            <w:gridSpan w:val="3"/>
          </w:tcPr>
          <w:p w14:paraId="751E1E73" w14:textId="77777777" w:rsidR="007F0241" w:rsidRPr="00995845" w:rsidRDefault="007F0241" w:rsidP="00164FA4">
            <w:pPr>
              <w:jc w:val="both"/>
              <w:rPr>
                <w:lang w:val="ro-RO"/>
              </w:rPr>
            </w:pPr>
            <w:r w:rsidRPr="00995845">
              <w:rPr>
                <w:lang w:val="ro-RO"/>
              </w:rPr>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429" w:type="dxa"/>
            <w:gridSpan w:val="5"/>
          </w:tcPr>
          <w:p w14:paraId="1F83208F" w14:textId="77777777" w:rsidR="007F0241" w:rsidRPr="00995845" w:rsidRDefault="007F0241" w:rsidP="00164FA4">
            <w:pPr>
              <w:jc w:val="both"/>
              <w:rPr>
                <w:lang w:val="ro-RO"/>
              </w:rPr>
            </w:pPr>
            <w:r w:rsidRPr="00995845">
              <w:rPr>
                <w:lang w:val="ro-RO"/>
              </w:rPr>
              <w:t>Proiectul de act normativ nu se referă la acest subiect.</w:t>
            </w:r>
          </w:p>
          <w:p w14:paraId="0484CE51" w14:textId="77777777" w:rsidR="007F0241" w:rsidRPr="00995845" w:rsidRDefault="007F0241" w:rsidP="00164FA4">
            <w:pPr>
              <w:jc w:val="both"/>
              <w:rPr>
                <w:lang w:val="ro-RO"/>
              </w:rPr>
            </w:pPr>
          </w:p>
        </w:tc>
      </w:tr>
      <w:tr w:rsidR="007F0241" w:rsidRPr="00900120" w14:paraId="4ABCA719" w14:textId="77777777" w:rsidTr="00164FA4">
        <w:tc>
          <w:tcPr>
            <w:tcW w:w="4111" w:type="dxa"/>
            <w:gridSpan w:val="3"/>
          </w:tcPr>
          <w:p w14:paraId="6D8009A6" w14:textId="77777777" w:rsidR="007F0241" w:rsidRPr="00995845" w:rsidRDefault="007F0241" w:rsidP="00164FA4">
            <w:pPr>
              <w:jc w:val="both"/>
              <w:rPr>
                <w:lang w:val="ro-RO"/>
              </w:rPr>
            </w:pPr>
            <w:r w:rsidRPr="00995845">
              <w:rPr>
                <w:lang w:val="ro-RO"/>
              </w:rPr>
              <w:t>4.Consultările desfăşurate în cadrul consiliilor interministeriale, în conformitate cu prevederile Hotărârii Guvernului nr. 750/2005 privind constituirea consiliilor interministeriale permanente</w:t>
            </w:r>
          </w:p>
        </w:tc>
        <w:tc>
          <w:tcPr>
            <w:tcW w:w="5429" w:type="dxa"/>
            <w:gridSpan w:val="5"/>
          </w:tcPr>
          <w:p w14:paraId="63FF0DAE" w14:textId="77777777" w:rsidR="007F0241" w:rsidRPr="00995845" w:rsidRDefault="007F0241" w:rsidP="00164FA4">
            <w:pPr>
              <w:jc w:val="both"/>
              <w:rPr>
                <w:lang w:val="ro-RO"/>
              </w:rPr>
            </w:pPr>
            <w:r w:rsidRPr="00995845">
              <w:rPr>
                <w:lang w:val="ro-RO"/>
              </w:rPr>
              <w:t>Proiectul de act normativ nu se referă la acest subiect.</w:t>
            </w:r>
          </w:p>
        </w:tc>
      </w:tr>
      <w:tr w:rsidR="007F0241" w:rsidRPr="00900120" w14:paraId="4AA56A82" w14:textId="77777777" w:rsidTr="00164FA4">
        <w:tc>
          <w:tcPr>
            <w:tcW w:w="4111" w:type="dxa"/>
            <w:gridSpan w:val="3"/>
          </w:tcPr>
          <w:p w14:paraId="42635096" w14:textId="77777777" w:rsidR="007F0241" w:rsidRPr="00995845" w:rsidRDefault="007F0241" w:rsidP="00164FA4">
            <w:pPr>
              <w:jc w:val="both"/>
              <w:rPr>
                <w:lang w:val="ro-RO"/>
              </w:rPr>
            </w:pPr>
            <w:r w:rsidRPr="00995845">
              <w:rPr>
                <w:lang w:val="ro-RO"/>
              </w:rPr>
              <w:t>5.Informaţii privind avizarea de către:</w:t>
            </w:r>
          </w:p>
          <w:p w14:paraId="7717508C" w14:textId="77777777" w:rsidR="007F0241" w:rsidRPr="00995845" w:rsidRDefault="007F0241" w:rsidP="00164FA4">
            <w:pPr>
              <w:jc w:val="both"/>
              <w:rPr>
                <w:lang w:val="ro-RO"/>
              </w:rPr>
            </w:pPr>
            <w:r w:rsidRPr="00995845">
              <w:rPr>
                <w:lang w:val="ro-RO"/>
              </w:rPr>
              <w:lastRenderedPageBreak/>
              <w:t>a) Consiliul Legislativ</w:t>
            </w:r>
          </w:p>
          <w:p w14:paraId="547A04B1" w14:textId="77777777" w:rsidR="007F0241" w:rsidRPr="00995845" w:rsidRDefault="007F0241" w:rsidP="00164FA4">
            <w:pPr>
              <w:tabs>
                <w:tab w:val="left" w:pos="318"/>
              </w:tabs>
              <w:jc w:val="both"/>
              <w:rPr>
                <w:lang w:val="ro-RO"/>
              </w:rPr>
            </w:pPr>
            <w:r w:rsidRPr="00995845">
              <w:rPr>
                <w:lang w:val="ro-RO"/>
              </w:rPr>
              <w:t>b) Consiliul Suprem de Apărare a Ţării</w:t>
            </w:r>
          </w:p>
          <w:p w14:paraId="6812E1A0" w14:textId="77777777" w:rsidR="007F0241" w:rsidRPr="00995845" w:rsidRDefault="007F0241" w:rsidP="00164FA4">
            <w:pPr>
              <w:jc w:val="both"/>
              <w:rPr>
                <w:lang w:val="ro-RO"/>
              </w:rPr>
            </w:pPr>
            <w:r w:rsidRPr="00995845">
              <w:rPr>
                <w:lang w:val="ro-RO"/>
              </w:rPr>
              <w:t>c) Consiliul Economic şi Social</w:t>
            </w:r>
          </w:p>
          <w:p w14:paraId="3766A379" w14:textId="77777777" w:rsidR="007F0241" w:rsidRPr="00995845" w:rsidRDefault="007F0241" w:rsidP="00164FA4">
            <w:pPr>
              <w:jc w:val="both"/>
              <w:rPr>
                <w:lang w:val="ro-RO"/>
              </w:rPr>
            </w:pPr>
            <w:r w:rsidRPr="00995845">
              <w:rPr>
                <w:lang w:val="ro-RO"/>
              </w:rPr>
              <w:t>d) Consiliul Concurenţei</w:t>
            </w:r>
          </w:p>
          <w:p w14:paraId="779A2575" w14:textId="77777777" w:rsidR="007F0241" w:rsidRPr="00995845" w:rsidRDefault="007F0241" w:rsidP="00164FA4">
            <w:pPr>
              <w:jc w:val="both"/>
              <w:rPr>
                <w:lang w:val="ro-RO"/>
              </w:rPr>
            </w:pPr>
            <w:r w:rsidRPr="00995845">
              <w:rPr>
                <w:lang w:val="ro-RO"/>
              </w:rPr>
              <w:t>e) Curtea de Conturi</w:t>
            </w:r>
          </w:p>
        </w:tc>
        <w:tc>
          <w:tcPr>
            <w:tcW w:w="5429" w:type="dxa"/>
            <w:gridSpan w:val="5"/>
          </w:tcPr>
          <w:p w14:paraId="6F9BE4CC" w14:textId="77777777" w:rsidR="007F0241" w:rsidRPr="00995845" w:rsidRDefault="007F0241" w:rsidP="00164FA4">
            <w:pPr>
              <w:jc w:val="both"/>
              <w:rPr>
                <w:lang w:val="ro-RO"/>
              </w:rPr>
            </w:pPr>
            <w:r w:rsidRPr="00DD5779">
              <w:rPr>
                <w:lang w:val="ro-RO"/>
              </w:rPr>
              <w:lastRenderedPageBreak/>
              <w:t xml:space="preserve">Proiectul de act normativ a fost avizat favorabil de </w:t>
            </w:r>
            <w:r w:rsidRPr="00DD5779">
              <w:rPr>
                <w:lang w:val="ro-RO"/>
              </w:rPr>
              <w:lastRenderedPageBreak/>
              <w:t>către Consiliul Legislativ.</w:t>
            </w:r>
          </w:p>
        </w:tc>
      </w:tr>
      <w:tr w:rsidR="007F0241" w:rsidRPr="00995845" w14:paraId="3E3EB069" w14:textId="77777777" w:rsidTr="00164FA4">
        <w:tc>
          <w:tcPr>
            <w:tcW w:w="4111" w:type="dxa"/>
            <w:gridSpan w:val="3"/>
          </w:tcPr>
          <w:p w14:paraId="46F3D591" w14:textId="77777777" w:rsidR="007F0241" w:rsidRPr="00995845" w:rsidRDefault="007F0241" w:rsidP="00164FA4">
            <w:pPr>
              <w:jc w:val="both"/>
              <w:rPr>
                <w:lang w:val="ro-RO"/>
              </w:rPr>
            </w:pPr>
            <w:r w:rsidRPr="00995845">
              <w:rPr>
                <w:lang w:val="ro-RO"/>
              </w:rPr>
              <w:lastRenderedPageBreak/>
              <w:t>6. Alte informaţii</w:t>
            </w:r>
          </w:p>
        </w:tc>
        <w:tc>
          <w:tcPr>
            <w:tcW w:w="5429" w:type="dxa"/>
            <w:gridSpan w:val="5"/>
          </w:tcPr>
          <w:p w14:paraId="1354FB70" w14:textId="77777777" w:rsidR="007F0241" w:rsidRPr="00995845" w:rsidRDefault="007F0241" w:rsidP="00164FA4">
            <w:pPr>
              <w:jc w:val="both"/>
              <w:rPr>
                <w:lang w:val="ro-RO"/>
              </w:rPr>
            </w:pPr>
            <w:r w:rsidRPr="00995845">
              <w:rPr>
                <w:lang w:val="ro-RO"/>
              </w:rPr>
              <w:t>Nu au fost identificate.</w:t>
            </w:r>
          </w:p>
        </w:tc>
      </w:tr>
      <w:tr w:rsidR="007F0241" w:rsidRPr="00995845" w14:paraId="759B519C" w14:textId="77777777" w:rsidTr="00164FA4">
        <w:tc>
          <w:tcPr>
            <w:tcW w:w="9540" w:type="dxa"/>
            <w:gridSpan w:val="8"/>
          </w:tcPr>
          <w:p w14:paraId="060272E1" w14:textId="77777777" w:rsidR="007F0241" w:rsidRPr="00995845" w:rsidRDefault="007F0241" w:rsidP="00164FA4">
            <w:pPr>
              <w:jc w:val="both"/>
              <w:rPr>
                <w:lang w:val="ro-RO"/>
              </w:rPr>
            </w:pPr>
            <w:r w:rsidRPr="00995845">
              <w:rPr>
                <w:lang w:val="ro-RO"/>
              </w:rPr>
              <w:t>Secţiunea a 7-a</w:t>
            </w:r>
          </w:p>
          <w:p w14:paraId="26FDE733" w14:textId="77777777" w:rsidR="007F0241" w:rsidRPr="00995845" w:rsidRDefault="007F0241" w:rsidP="00164FA4">
            <w:pPr>
              <w:jc w:val="both"/>
              <w:rPr>
                <w:lang w:val="ro-RO"/>
              </w:rPr>
            </w:pPr>
            <w:r w:rsidRPr="00995845">
              <w:rPr>
                <w:lang w:val="ro-RO"/>
              </w:rPr>
              <w:t>Activităţi de informare publică privind elaborarea şi implementarea proiectului de act normativ</w:t>
            </w:r>
          </w:p>
        </w:tc>
      </w:tr>
      <w:tr w:rsidR="007F0241" w:rsidRPr="00900120" w14:paraId="0F75E05D" w14:textId="77777777" w:rsidTr="00164FA4">
        <w:trPr>
          <w:trHeight w:val="699"/>
        </w:trPr>
        <w:tc>
          <w:tcPr>
            <w:tcW w:w="4111" w:type="dxa"/>
            <w:gridSpan w:val="3"/>
          </w:tcPr>
          <w:p w14:paraId="6296D5D1" w14:textId="77777777" w:rsidR="007F0241" w:rsidRPr="00995845" w:rsidRDefault="007F0241" w:rsidP="00164FA4">
            <w:pPr>
              <w:jc w:val="both"/>
              <w:rPr>
                <w:lang w:val="ro-RO"/>
              </w:rPr>
            </w:pPr>
            <w:r w:rsidRPr="00995845">
              <w:rPr>
                <w:lang w:val="ro-RO"/>
              </w:rPr>
              <w:t>1.Informarea societăţii civile cu privire la necesitatea elaborării proiectului de act normativ</w:t>
            </w:r>
          </w:p>
        </w:tc>
        <w:tc>
          <w:tcPr>
            <w:tcW w:w="5429" w:type="dxa"/>
            <w:gridSpan w:val="5"/>
          </w:tcPr>
          <w:p w14:paraId="4F958E6A" w14:textId="77777777" w:rsidR="007F0241" w:rsidRPr="00995845" w:rsidRDefault="007F0241" w:rsidP="00164FA4">
            <w:pPr>
              <w:tabs>
                <w:tab w:val="left" w:pos="900"/>
                <w:tab w:val="left" w:pos="5220"/>
              </w:tabs>
              <w:autoSpaceDE w:val="0"/>
              <w:autoSpaceDN w:val="0"/>
              <w:adjustRightInd w:val="0"/>
              <w:jc w:val="both"/>
              <w:rPr>
                <w:lang w:val="ro-RO"/>
              </w:rPr>
            </w:pPr>
            <w:r w:rsidRPr="00995845">
              <w:rPr>
                <w:lang w:val="ro-RO"/>
              </w:rPr>
              <w:t>Pentru prezenta hotărâre a fost îndeplinită procedura privind transparenţa decizională în administraţia publică, prevăzută de Legea nr. 52/2003, acesta fiind publicat pe pagina de Internet a Ministerului Mediului</w:t>
            </w:r>
            <w:r w:rsidR="00A514BE">
              <w:rPr>
                <w:lang w:val="ro-RO"/>
              </w:rPr>
              <w:t>, Apelor și Pădurilor.</w:t>
            </w:r>
          </w:p>
          <w:p w14:paraId="37854A08" w14:textId="77777777" w:rsidR="007F0241" w:rsidRPr="00995845" w:rsidRDefault="007F0241" w:rsidP="00164FA4">
            <w:pPr>
              <w:tabs>
                <w:tab w:val="left" w:pos="900"/>
                <w:tab w:val="left" w:pos="5220"/>
              </w:tabs>
              <w:autoSpaceDE w:val="0"/>
              <w:autoSpaceDN w:val="0"/>
              <w:adjustRightInd w:val="0"/>
              <w:jc w:val="both"/>
              <w:rPr>
                <w:lang w:val="ro-RO"/>
              </w:rPr>
            </w:pPr>
          </w:p>
        </w:tc>
      </w:tr>
      <w:tr w:rsidR="007F0241" w:rsidRPr="00995845" w14:paraId="0830F667" w14:textId="77777777" w:rsidTr="00164FA4">
        <w:tc>
          <w:tcPr>
            <w:tcW w:w="4111" w:type="dxa"/>
            <w:gridSpan w:val="3"/>
          </w:tcPr>
          <w:p w14:paraId="382CFFE4" w14:textId="77777777" w:rsidR="007F0241" w:rsidRPr="00995845" w:rsidRDefault="007F0241" w:rsidP="00164FA4">
            <w:pPr>
              <w:jc w:val="both"/>
              <w:rPr>
                <w:lang w:val="ro-RO"/>
              </w:rPr>
            </w:pPr>
            <w:r w:rsidRPr="00995845">
              <w:rPr>
                <w:lang w:val="ro-RO"/>
              </w:rPr>
              <w:t>2.Informarea societăţii civile cu privire la eventualul impact asupra mediului în urma implementării proiectului de act normativ, precum şi efectele asupra sănătăţii şi securităţii cetăţenilor sau diversităţii biologice</w:t>
            </w:r>
          </w:p>
        </w:tc>
        <w:tc>
          <w:tcPr>
            <w:tcW w:w="5429" w:type="dxa"/>
            <w:gridSpan w:val="5"/>
          </w:tcPr>
          <w:p w14:paraId="316198D5" w14:textId="77777777" w:rsidR="007F0241" w:rsidRPr="00995845" w:rsidRDefault="007F0241" w:rsidP="00164FA4">
            <w:pPr>
              <w:jc w:val="both"/>
              <w:rPr>
                <w:lang w:val="ro-RO"/>
              </w:rPr>
            </w:pPr>
            <w:r w:rsidRPr="00995845">
              <w:rPr>
                <w:lang w:val="ro-RO"/>
              </w:rPr>
              <w:t>Informarea societăţii civile s-a realizat în perioada consultărilor publice.</w:t>
            </w:r>
          </w:p>
        </w:tc>
      </w:tr>
      <w:tr w:rsidR="007F0241" w:rsidRPr="00995845" w14:paraId="6DFD6B3D" w14:textId="77777777" w:rsidTr="00164FA4">
        <w:tc>
          <w:tcPr>
            <w:tcW w:w="4111" w:type="dxa"/>
            <w:gridSpan w:val="3"/>
          </w:tcPr>
          <w:p w14:paraId="59698AC8" w14:textId="77777777" w:rsidR="007F0241" w:rsidRPr="00995845" w:rsidRDefault="007F0241" w:rsidP="00164FA4">
            <w:pPr>
              <w:jc w:val="both"/>
              <w:rPr>
                <w:lang w:val="ro-RO"/>
              </w:rPr>
            </w:pPr>
            <w:r w:rsidRPr="00995845">
              <w:rPr>
                <w:lang w:val="ro-RO"/>
              </w:rPr>
              <w:t>3. Alte informaţii</w:t>
            </w:r>
          </w:p>
        </w:tc>
        <w:tc>
          <w:tcPr>
            <w:tcW w:w="5429" w:type="dxa"/>
            <w:gridSpan w:val="5"/>
          </w:tcPr>
          <w:p w14:paraId="40FE11CB" w14:textId="77777777" w:rsidR="007F0241" w:rsidRPr="00995845" w:rsidRDefault="007F0241" w:rsidP="00164FA4">
            <w:pPr>
              <w:jc w:val="both"/>
              <w:rPr>
                <w:lang w:val="ro-RO"/>
              </w:rPr>
            </w:pPr>
            <w:r w:rsidRPr="00995845">
              <w:rPr>
                <w:lang w:val="ro-RO"/>
              </w:rPr>
              <w:t>Nu au fost identificate.</w:t>
            </w:r>
          </w:p>
        </w:tc>
      </w:tr>
      <w:tr w:rsidR="007F0241" w:rsidRPr="00900120" w14:paraId="3410F4A9" w14:textId="77777777" w:rsidTr="00164FA4">
        <w:tc>
          <w:tcPr>
            <w:tcW w:w="9540" w:type="dxa"/>
            <w:gridSpan w:val="8"/>
          </w:tcPr>
          <w:p w14:paraId="2E0802D7" w14:textId="77777777" w:rsidR="007F0241" w:rsidRPr="00995845" w:rsidRDefault="007F0241" w:rsidP="00164FA4">
            <w:pPr>
              <w:jc w:val="both"/>
              <w:rPr>
                <w:lang w:val="ro-RO"/>
              </w:rPr>
            </w:pPr>
            <w:r w:rsidRPr="00995845">
              <w:rPr>
                <w:lang w:val="ro-RO"/>
              </w:rPr>
              <w:t>Secţiunea a 8-a</w:t>
            </w:r>
          </w:p>
          <w:p w14:paraId="0461B95E" w14:textId="77777777" w:rsidR="007F0241" w:rsidRPr="00995845" w:rsidRDefault="007F0241" w:rsidP="00164FA4">
            <w:pPr>
              <w:jc w:val="both"/>
              <w:rPr>
                <w:lang w:val="ro-RO"/>
              </w:rPr>
            </w:pPr>
            <w:r w:rsidRPr="00995845">
              <w:rPr>
                <w:lang w:val="ro-RO"/>
              </w:rPr>
              <w:t>Măsuri de implementare</w:t>
            </w:r>
          </w:p>
        </w:tc>
      </w:tr>
      <w:tr w:rsidR="007F0241" w:rsidRPr="00900120" w14:paraId="48A989C2" w14:textId="77777777" w:rsidTr="00164FA4">
        <w:trPr>
          <w:trHeight w:val="1993"/>
        </w:trPr>
        <w:tc>
          <w:tcPr>
            <w:tcW w:w="4111" w:type="dxa"/>
            <w:gridSpan w:val="3"/>
          </w:tcPr>
          <w:p w14:paraId="0986C300" w14:textId="77777777" w:rsidR="007F0241" w:rsidRPr="00995845" w:rsidRDefault="007F0241" w:rsidP="00164FA4">
            <w:pPr>
              <w:jc w:val="both"/>
              <w:rPr>
                <w:lang w:val="ro-RO"/>
              </w:rPr>
            </w:pPr>
            <w:r w:rsidRPr="00995845">
              <w:rPr>
                <w:lang w:val="ro-RO"/>
              </w:rPr>
              <w:t>1.Măsurile de punere în aplicare a proiectului de act normativ de către autorităţile administraţiei publice centrale şi/sau locale, înfiinţarea unor noi organisme sau extinderea competenţelor instituţiilor existente.</w:t>
            </w:r>
          </w:p>
        </w:tc>
        <w:tc>
          <w:tcPr>
            <w:tcW w:w="5429" w:type="dxa"/>
            <w:gridSpan w:val="5"/>
          </w:tcPr>
          <w:p w14:paraId="11F3950B" w14:textId="77777777" w:rsidR="007F0241" w:rsidRPr="00995845" w:rsidRDefault="007F0241" w:rsidP="00164FA4">
            <w:pPr>
              <w:spacing w:line="276" w:lineRule="auto"/>
              <w:jc w:val="both"/>
              <w:rPr>
                <w:lang w:val="ro-RO"/>
              </w:rPr>
            </w:pPr>
            <w:r w:rsidRPr="00995845">
              <w:rPr>
                <w:lang w:val="ro-RO"/>
              </w:rPr>
              <w:t>Nu se prevede înfiinţarea de noi organisme de stat pentru punerea în aplicare a prezentei hotărâri.</w:t>
            </w:r>
          </w:p>
        </w:tc>
      </w:tr>
      <w:tr w:rsidR="007F0241" w:rsidRPr="00995845" w14:paraId="67B61153" w14:textId="77777777" w:rsidTr="00164FA4">
        <w:trPr>
          <w:trHeight w:val="70"/>
        </w:trPr>
        <w:tc>
          <w:tcPr>
            <w:tcW w:w="4111" w:type="dxa"/>
            <w:gridSpan w:val="3"/>
          </w:tcPr>
          <w:p w14:paraId="2B16AB3F" w14:textId="77777777" w:rsidR="007F0241" w:rsidRPr="00995845" w:rsidRDefault="009230C8" w:rsidP="00164FA4">
            <w:pPr>
              <w:jc w:val="both"/>
              <w:rPr>
                <w:lang w:val="ro-RO"/>
              </w:rPr>
            </w:pPr>
            <w:r>
              <w:rPr>
                <w:lang w:val="ro-RO"/>
              </w:rPr>
              <w:t>2</w:t>
            </w:r>
            <w:r w:rsidR="007F0241" w:rsidRPr="00995845">
              <w:rPr>
                <w:lang w:val="ro-RO"/>
              </w:rPr>
              <w:t>.Alte informaţii</w:t>
            </w:r>
          </w:p>
        </w:tc>
        <w:tc>
          <w:tcPr>
            <w:tcW w:w="5429" w:type="dxa"/>
            <w:gridSpan w:val="5"/>
          </w:tcPr>
          <w:p w14:paraId="1FB46C93" w14:textId="77777777" w:rsidR="007F0241" w:rsidRPr="00995845" w:rsidRDefault="007F0241" w:rsidP="00164FA4">
            <w:pPr>
              <w:jc w:val="both"/>
              <w:rPr>
                <w:lang w:val="ro-RO"/>
              </w:rPr>
            </w:pPr>
            <w:r w:rsidRPr="00995845">
              <w:rPr>
                <w:lang w:val="ro-RO"/>
              </w:rPr>
              <w:t>Nu au fost identificate.</w:t>
            </w:r>
          </w:p>
        </w:tc>
      </w:tr>
    </w:tbl>
    <w:p w14:paraId="4EC399C2" w14:textId="77777777" w:rsidR="007F0241" w:rsidRPr="00995845" w:rsidRDefault="007F0241" w:rsidP="007F0241">
      <w:pPr>
        <w:jc w:val="center"/>
        <w:rPr>
          <w:b/>
          <w:lang w:val="ro-RO"/>
        </w:rPr>
      </w:pPr>
      <w:r w:rsidRPr="00995845">
        <w:rPr>
          <w:b/>
          <w:lang w:val="ro-RO"/>
        </w:rPr>
        <w:t xml:space="preserve">                                         </w:t>
      </w:r>
    </w:p>
    <w:p w14:paraId="40EE83F0" w14:textId="77777777" w:rsidR="007F0241" w:rsidRPr="00995845" w:rsidRDefault="007F0241" w:rsidP="007F0241">
      <w:pPr>
        <w:ind w:left="-426"/>
        <w:jc w:val="both"/>
        <w:rPr>
          <w:lang w:val="ro-RO"/>
        </w:rPr>
      </w:pPr>
    </w:p>
    <w:p w14:paraId="19486D93" w14:textId="734C829D" w:rsidR="007F0241" w:rsidRPr="00995845" w:rsidRDefault="007F0241" w:rsidP="00780A19">
      <w:pPr>
        <w:jc w:val="both"/>
        <w:rPr>
          <w:lang w:val="ro-RO"/>
        </w:rPr>
      </w:pPr>
      <w:r w:rsidRPr="00995845">
        <w:rPr>
          <w:lang w:val="ro-RO"/>
        </w:rPr>
        <w:t xml:space="preserve">Luând în considerare cele expuse, a fost elaborat prezentul proiect de Hotărâre a Guvernului pentru modificarea şi completarea </w:t>
      </w:r>
      <w:r w:rsidR="00A514BE">
        <w:rPr>
          <w:lang w:val="ro-RO"/>
        </w:rPr>
        <w:t xml:space="preserve">Hotărârii Guvernului nr. 1132/2008 </w:t>
      </w:r>
      <w:r w:rsidR="00A514BE" w:rsidRPr="00516B44">
        <w:rPr>
          <w:lang w:val="ro-RO"/>
        </w:rPr>
        <w:t>privind regimul bateriilor şi acumulatorilor şi al deșeurilor de baterii şi acumulatori</w:t>
      </w:r>
      <w:r w:rsidRPr="00995845">
        <w:rPr>
          <w:lang w:val="ro-RO"/>
        </w:rPr>
        <w:t xml:space="preserve">, care în forma prezentată a fost avizat de ministerele interesate </w:t>
      </w:r>
      <w:r w:rsidRPr="00995845">
        <w:rPr>
          <w:rFonts w:hAnsi="Calibri"/>
          <w:lang w:val="ro-RO"/>
        </w:rPr>
        <w:t>ș</w:t>
      </w:r>
      <w:r w:rsidRPr="00995845">
        <w:rPr>
          <w:lang w:val="ro-RO"/>
        </w:rPr>
        <w:t xml:space="preserve">i de Consiliul Legislativ </w:t>
      </w:r>
      <w:r w:rsidRPr="00995845">
        <w:rPr>
          <w:rFonts w:hAnsi="Calibri"/>
          <w:lang w:val="ro-RO"/>
        </w:rPr>
        <w:t>ș</w:t>
      </w:r>
      <w:r w:rsidRPr="00995845">
        <w:rPr>
          <w:lang w:val="ro-RO"/>
        </w:rPr>
        <w:t>i pe care îl supunem spre adoptare.</w:t>
      </w:r>
    </w:p>
    <w:p w14:paraId="0AA05CA6" w14:textId="77777777" w:rsidR="007F0241" w:rsidRPr="00995845" w:rsidRDefault="007F0241" w:rsidP="007F0241">
      <w:pPr>
        <w:jc w:val="center"/>
        <w:rPr>
          <w:b/>
          <w:lang w:val="ro-RO"/>
        </w:rPr>
      </w:pPr>
    </w:p>
    <w:tbl>
      <w:tblPr>
        <w:tblW w:w="11430" w:type="dxa"/>
        <w:tblInd w:w="-1030" w:type="dxa"/>
        <w:tblLook w:val="04A0" w:firstRow="1" w:lastRow="0" w:firstColumn="1" w:lastColumn="0" w:noHBand="0" w:noVBand="1"/>
      </w:tblPr>
      <w:tblGrid>
        <w:gridCol w:w="11430"/>
      </w:tblGrid>
      <w:tr w:rsidR="007F0241" w:rsidRPr="00995845" w14:paraId="2C104C4E" w14:textId="77777777" w:rsidTr="00164FA4">
        <w:trPr>
          <w:trHeight w:val="1147"/>
        </w:trPr>
        <w:tc>
          <w:tcPr>
            <w:tcW w:w="11430" w:type="dxa"/>
          </w:tcPr>
          <w:p w14:paraId="450F0147" w14:textId="77777777" w:rsidR="007F0241" w:rsidRPr="00995845" w:rsidRDefault="007F0241" w:rsidP="00164FA4">
            <w:pPr>
              <w:outlineLvl w:val="7"/>
              <w:rPr>
                <w:rFonts w:eastAsia="Times New Roman"/>
                <w:b/>
                <w:iCs/>
                <w:caps/>
                <w:lang w:val="ro-RO"/>
              </w:rPr>
            </w:pPr>
            <w:bookmarkStart w:id="0" w:name="_Hlk29142673"/>
            <w:r w:rsidRPr="00995845">
              <w:rPr>
                <w:rFonts w:eastAsia="Times New Roman"/>
                <w:b/>
                <w:iCs/>
                <w:caps/>
                <w:lang w:val="ro-RO"/>
              </w:rPr>
              <w:t xml:space="preserve">                                                                      </w:t>
            </w:r>
          </w:p>
          <w:p w14:paraId="6BB0EABD" w14:textId="77777777" w:rsidR="00417C05" w:rsidRPr="00417C05" w:rsidRDefault="00417C05" w:rsidP="00417C05">
            <w:pPr>
              <w:autoSpaceDE w:val="0"/>
              <w:autoSpaceDN w:val="0"/>
              <w:adjustRightInd w:val="0"/>
              <w:spacing w:line="276" w:lineRule="auto"/>
              <w:jc w:val="center"/>
              <w:rPr>
                <w:b/>
                <w:lang w:val="ro-RO"/>
              </w:rPr>
            </w:pPr>
            <w:r w:rsidRPr="00417C05">
              <w:rPr>
                <w:b/>
                <w:lang w:val="ro-RO"/>
              </w:rPr>
              <w:t>MINISTRUL MEDIULUI, APELOR ŞI PĂDURILOR</w:t>
            </w:r>
          </w:p>
          <w:p w14:paraId="7D2A4EB7" w14:textId="77777777" w:rsidR="00417C05" w:rsidRPr="00417C05" w:rsidRDefault="00417C05" w:rsidP="00417C05">
            <w:pPr>
              <w:widowControl w:val="0"/>
              <w:jc w:val="center"/>
              <w:rPr>
                <w:b/>
                <w:lang w:val="ro-RO"/>
              </w:rPr>
            </w:pPr>
            <w:r w:rsidRPr="00417C05">
              <w:rPr>
                <w:b/>
                <w:lang w:val="ro-RO"/>
              </w:rPr>
              <w:t xml:space="preserve">Costel ALEXE </w:t>
            </w:r>
          </w:p>
          <w:p w14:paraId="5B1ABEA3" w14:textId="77777777" w:rsidR="007F0241" w:rsidRPr="00995845" w:rsidRDefault="007F0241" w:rsidP="00164FA4">
            <w:pPr>
              <w:pStyle w:val="Heading3"/>
              <w:shd w:val="clear" w:color="auto" w:fill="FFFFFF"/>
              <w:spacing w:before="0" w:after="120"/>
              <w:jc w:val="center"/>
              <w:textAlignment w:val="baseline"/>
              <w:rPr>
                <w:iCs/>
                <w:caps/>
                <w:lang w:val="ro-RO"/>
              </w:rPr>
            </w:pPr>
          </w:p>
        </w:tc>
      </w:tr>
    </w:tbl>
    <w:p w14:paraId="084C250E" w14:textId="77777777" w:rsidR="007F0241" w:rsidRPr="00995845" w:rsidRDefault="007F0241" w:rsidP="007F0241">
      <w:pPr>
        <w:rPr>
          <w:b/>
          <w:bCs/>
          <w:u w:val="single"/>
          <w:lang w:val="ro-RO"/>
        </w:rPr>
      </w:pPr>
      <w:r w:rsidRPr="00995845">
        <w:rPr>
          <w:b/>
          <w:bCs/>
          <w:lang w:val="ro-RO"/>
        </w:rPr>
        <w:t xml:space="preserve">                                                    </w:t>
      </w:r>
    </w:p>
    <w:p w14:paraId="6C363FF5" w14:textId="77777777" w:rsidR="007F0241" w:rsidRPr="00995845" w:rsidRDefault="007F0241" w:rsidP="007F0241">
      <w:pPr>
        <w:rPr>
          <w:b/>
          <w:bCs/>
          <w:u w:val="single"/>
          <w:lang w:val="ro-RO"/>
        </w:rPr>
      </w:pPr>
    </w:p>
    <w:p w14:paraId="78408AD8" w14:textId="77777777" w:rsidR="007F0241" w:rsidRDefault="007F0241" w:rsidP="007F0241">
      <w:pPr>
        <w:rPr>
          <w:b/>
          <w:bCs/>
          <w:u w:val="single"/>
          <w:lang w:val="ro-RO"/>
        </w:rPr>
      </w:pPr>
    </w:p>
    <w:p w14:paraId="5F1B6F96" w14:textId="77777777" w:rsidR="00417C05" w:rsidRDefault="00417C05" w:rsidP="007F0241">
      <w:pPr>
        <w:rPr>
          <w:b/>
          <w:bCs/>
          <w:u w:val="single"/>
          <w:lang w:val="ro-RO"/>
        </w:rPr>
      </w:pPr>
    </w:p>
    <w:p w14:paraId="593BBE3D" w14:textId="77777777" w:rsidR="00780A19" w:rsidRDefault="00780A19" w:rsidP="007F0241">
      <w:pPr>
        <w:rPr>
          <w:b/>
          <w:bCs/>
          <w:u w:val="single"/>
          <w:lang w:val="ro-RO"/>
        </w:rPr>
      </w:pPr>
    </w:p>
    <w:p w14:paraId="3A94B5B8" w14:textId="77777777" w:rsidR="00417C05" w:rsidRDefault="00417C05" w:rsidP="007F0241">
      <w:pPr>
        <w:rPr>
          <w:b/>
          <w:bCs/>
          <w:u w:val="single"/>
          <w:lang w:val="ro-RO"/>
        </w:rPr>
      </w:pPr>
    </w:p>
    <w:p w14:paraId="760C20B8" w14:textId="77777777" w:rsidR="00417C05" w:rsidRDefault="00417C05" w:rsidP="007F0241">
      <w:pPr>
        <w:rPr>
          <w:b/>
          <w:bCs/>
          <w:u w:val="single"/>
          <w:lang w:val="ro-RO"/>
        </w:rPr>
      </w:pPr>
    </w:p>
    <w:p w14:paraId="02C1EA07" w14:textId="77777777" w:rsidR="007F0241" w:rsidRPr="00995845" w:rsidRDefault="007F0241" w:rsidP="007F0241">
      <w:pPr>
        <w:jc w:val="center"/>
        <w:rPr>
          <w:b/>
          <w:u w:val="single"/>
          <w:lang w:val="ro-RO" w:bidi="en-US"/>
        </w:rPr>
      </w:pPr>
      <w:r w:rsidRPr="00995845">
        <w:rPr>
          <w:b/>
          <w:u w:val="single"/>
          <w:lang w:val="ro-RO" w:bidi="en-US"/>
        </w:rPr>
        <w:lastRenderedPageBreak/>
        <w:t>Avizăm favorabil:</w:t>
      </w:r>
    </w:p>
    <w:p w14:paraId="643BBDAC" w14:textId="77777777" w:rsidR="007F0241" w:rsidRPr="00995845" w:rsidRDefault="007F0241" w:rsidP="007F0241">
      <w:pPr>
        <w:jc w:val="center"/>
        <w:rPr>
          <w:b/>
          <w:u w:val="single"/>
          <w:lang w:val="ro-RO" w:bidi="en-US"/>
        </w:rPr>
      </w:pPr>
    </w:p>
    <w:tbl>
      <w:tblPr>
        <w:tblW w:w="10160" w:type="dxa"/>
        <w:tblInd w:w="-342" w:type="dxa"/>
        <w:tblLook w:val="04A0" w:firstRow="1" w:lastRow="0" w:firstColumn="1" w:lastColumn="0" w:noHBand="0" w:noVBand="1"/>
      </w:tblPr>
      <w:tblGrid>
        <w:gridCol w:w="4986"/>
        <w:gridCol w:w="5174"/>
      </w:tblGrid>
      <w:tr w:rsidR="007F0241" w:rsidRPr="00995845" w14:paraId="1372BE78" w14:textId="77777777" w:rsidTr="00417C05">
        <w:trPr>
          <w:trHeight w:val="1043"/>
        </w:trPr>
        <w:tc>
          <w:tcPr>
            <w:tcW w:w="4986" w:type="dxa"/>
            <w:shd w:val="clear" w:color="auto" w:fill="auto"/>
            <w:vAlign w:val="center"/>
          </w:tcPr>
          <w:p w14:paraId="62E852FD" w14:textId="77777777" w:rsidR="00417C05" w:rsidRDefault="00417C05" w:rsidP="00164FA4">
            <w:pPr>
              <w:jc w:val="center"/>
              <w:rPr>
                <w:b/>
                <w:lang w:val="ro-RO" w:bidi="en-US"/>
              </w:rPr>
            </w:pPr>
          </w:p>
          <w:p w14:paraId="05C4AD26" w14:textId="77777777" w:rsidR="00417C05" w:rsidRDefault="00417C05" w:rsidP="00164FA4">
            <w:pPr>
              <w:jc w:val="center"/>
              <w:rPr>
                <w:b/>
                <w:lang w:val="ro-RO" w:bidi="en-US"/>
              </w:rPr>
            </w:pPr>
          </w:p>
          <w:p w14:paraId="65333A3B" w14:textId="77777777" w:rsidR="00417C05" w:rsidRDefault="00417C05" w:rsidP="00417C05">
            <w:pPr>
              <w:rPr>
                <w:b/>
                <w:lang w:val="ro-RO" w:bidi="en-US"/>
              </w:rPr>
            </w:pPr>
          </w:p>
          <w:p w14:paraId="794DE8CF" w14:textId="77777777" w:rsidR="00417C05" w:rsidRDefault="00417C05" w:rsidP="00164FA4">
            <w:pPr>
              <w:jc w:val="center"/>
              <w:rPr>
                <w:b/>
                <w:lang w:val="ro-RO" w:bidi="en-US"/>
              </w:rPr>
            </w:pPr>
          </w:p>
          <w:p w14:paraId="3CE9454F" w14:textId="77777777" w:rsidR="007F0241" w:rsidRPr="00995845" w:rsidRDefault="007F0241" w:rsidP="00164FA4">
            <w:pPr>
              <w:jc w:val="center"/>
              <w:rPr>
                <w:b/>
                <w:lang w:val="ro-RO" w:bidi="en-US"/>
              </w:rPr>
            </w:pPr>
            <w:r w:rsidRPr="00995845">
              <w:rPr>
                <w:b/>
                <w:lang w:val="ro-RO" w:bidi="en-US"/>
              </w:rPr>
              <w:t>MINISTRUL AFACERILOR EXTERNE</w:t>
            </w:r>
          </w:p>
          <w:p w14:paraId="5C14C821" w14:textId="77777777" w:rsidR="007F0241" w:rsidRPr="00995845" w:rsidRDefault="007F0241" w:rsidP="00164FA4">
            <w:pPr>
              <w:jc w:val="center"/>
              <w:rPr>
                <w:b/>
                <w:lang w:val="ro-RO" w:bidi="en-US"/>
              </w:rPr>
            </w:pPr>
          </w:p>
          <w:p w14:paraId="244E916D" w14:textId="77777777" w:rsidR="00417C05" w:rsidRDefault="00417C05" w:rsidP="00417C05">
            <w:pPr>
              <w:pStyle w:val="Heading3"/>
              <w:shd w:val="clear" w:color="auto" w:fill="FFFFFF"/>
              <w:spacing w:before="0" w:after="0"/>
              <w:jc w:val="center"/>
              <w:textAlignment w:val="baseline"/>
              <w:rPr>
                <w:rFonts w:ascii="Times New Roman" w:eastAsia="MS Mincho" w:hAnsi="Times New Roman"/>
                <w:bCs w:val="0"/>
                <w:sz w:val="24"/>
                <w:szCs w:val="24"/>
                <w:lang w:val="ro-RO" w:bidi="en-US"/>
              </w:rPr>
            </w:pPr>
          </w:p>
          <w:p w14:paraId="752DCA9A" w14:textId="77777777" w:rsidR="00417C05" w:rsidRPr="00417C05" w:rsidRDefault="00417C05" w:rsidP="00417C05">
            <w:pPr>
              <w:rPr>
                <w:lang w:val="ro-RO" w:bidi="en-US"/>
              </w:rPr>
            </w:pPr>
          </w:p>
          <w:p w14:paraId="78C26523" w14:textId="77777777" w:rsidR="00417C05" w:rsidRPr="00417C05" w:rsidRDefault="00417C05" w:rsidP="00417C05">
            <w:pPr>
              <w:rPr>
                <w:lang w:val="ro-RO" w:bidi="en-US"/>
              </w:rPr>
            </w:pPr>
          </w:p>
          <w:p w14:paraId="54AEDED5" w14:textId="77777777" w:rsidR="00417C05" w:rsidRPr="00417C05" w:rsidRDefault="00A97945" w:rsidP="00417C05">
            <w:pPr>
              <w:pStyle w:val="Heading3"/>
              <w:shd w:val="clear" w:color="auto" w:fill="FFFFFF"/>
              <w:spacing w:before="0" w:after="0"/>
              <w:jc w:val="center"/>
              <w:textAlignment w:val="baseline"/>
              <w:rPr>
                <w:rFonts w:ascii="Times New Roman" w:eastAsia="MS Mincho" w:hAnsi="Times New Roman"/>
                <w:bCs w:val="0"/>
                <w:sz w:val="24"/>
                <w:szCs w:val="24"/>
                <w:lang w:val="ro-RO" w:bidi="en-US"/>
              </w:rPr>
            </w:pPr>
            <w:hyperlink r:id="rId8" w:history="1">
              <w:r w:rsidR="00417C05" w:rsidRPr="00417C05">
                <w:rPr>
                  <w:rFonts w:ascii="Times New Roman" w:eastAsia="MS Mincho" w:hAnsi="Times New Roman"/>
                  <w:bCs w:val="0"/>
                  <w:sz w:val="24"/>
                  <w:szCs w:val="24"/>
                  <w:lang w:val="ro-RO" w:bidi="en-US"/>
                </w:rPr>
                <w:t>Bogdan Lucian AURESCU</w:t>
              </w:r>
            </w:hyperlink>
          </w:p>
          <w:p w14:paraId="53A7799A" w14:textId="77777777" w:rsidR="00417C05" w:rsidRDefault="00417C05" w:rsidP="00417C05">
            <w:pPr>
              <w:pStyle w:val="NormalWeb"/>
              <w:shd w:val="clear" w:color="auto" w:fill="FFFFFF"/>
              <w:spacing w:before="0" w:beforeAutospacing="0" w:after="0" w:afterAutospacing="0" w:line="240" w:lineRule="atLeast"/>
              <w:textAlignment w:val="baseline"/>
              <w:rPr>
                <w:rFonts w:ascii="Trebuchet MS" w:hAnsi="Trebuchet MS"/>
                <w:color w:val="3C3C3C"/>
                <w:sz w:val="20"/>
                <w:szCs w:val="20"/>
              </w:rPr>
            </w:pPr>
          </w:p>
          <w:p w14:paraId="5AF0FC2F" w14:textId="77777777" w:rsidR="007F0241" w:rsidRDefault="007F0241" w:rsidP="00164FA4">
            <w:pPr>
              <w:jc w:val="center"/>
              <w:rPr>
                <w:b/>
                <w:lang w:val="ro-RO" w:bidi="en-US"/>
              </w:rPr>
            </w:pPr>
          </w:p>
          <w:p w14:paraId="6A077ED9" w14:textId="77777777" w:rsidR="00417C05" w:rsidRDefault="00417C05" w:rsidP="00417C05">
            <w:pPr>
              <w:rPr>
                <w:b/>
                <w:lang w:val="ro-RO" w:bidi="en-US"/>
              </w:rPr>
            </w:pPr>
          </w:p>
          <w:p w14:paraId="3C9A3AA0" w14:textId="77777777" w:rsidR="00417C05" w:rsidRDefault="00417C05" w:rsidP="00164FA4">
            <w:pPr>
              <w:jc w:val="center"/>
              <w:rPr>
                <w:b/>
                <w:lang w:val="ro-RO" w:bidi="en-US"/>
              </w:rPr>
            </w:pPr>
          </w:p>
          <w:p w14:paraId="03C7E645" w14:textId="77777777" w:rsidR="00417C05" w:rsidRPr="00995845" w:rsidRDefault="00417C05" w:rsidP="00164FA4">
            <w:pPr>
              <w:jc w:val="center"/>
              <w:rPr>
                <w:b/>
                <w:lang w:val="ro-RO" w:bidi="en-US"/>
              </w:rPr>
            </w:pPr>
          </w:p>
        </w:tc>
        <w:tc>
          <w:tcPr>
            <w:tcW w:w="5174" w:type="dxa"/>
            <w:shd w:val="clear" w:color="auto" w:fill="auto"/>
            <w:vAlign w:val="center"/>
          </w:tcPr>
          <w:p w14:paraId="26D985E3" w14:textId="77777777" w:rsidR="00417C05" w:rsidRDefault="00417C05" w:rsidP="00417C05">
            <w:pPr>
              <w:jc w:val="center"/>
              <w:rPr>
                <w:b/>
                <w:lang w:val="ro-RO" w:bidi="en-US"/>
              </w:rPr>
            </w:pPr>
          </w:p>
          <w:p w14:paraId="01F21E60" w14:textId="77777777" w:rsidR="007F0241" w:rsidRPr="00995845" w:rsidRDefault="007F0241" w:rsidP="00417C05">
            <w:pPr>
              <w:jc w:val="center"/>
              <w:rPr>
                <w:b/>
                <w:lang w:val="ro-RO" w:bidi="en-US"/>
              </w:rPr>
            </w:pPr>
            <w:r w:rsidRPr="00995845">
              <w:rPr>
                <w:b/>
                <w:lang w:val="ro-RO" w:bidi="en-US"/>
              </w:rPr>
              <w:t>MINISTRUL ECONOM</w:t>
            </w:r>
            <w:r w:rsidR="00417C05" w:rsidRPr="00995845">
              <w:rPr>
                <w:b/>
                <w:lang w:val="ro-RO" w:bidi="en-US"/>
              </w:rPr>
              <w:t>IEI</w:t>
            </w:r>
            <w:r w:rsidR="00417C05">
              <w:rPr>
                <w:b/>
                <w:lang w:val="ro-RO" w:bidi="en-US"/>
              </w:rPr>
              <w:t xml:space="preserve">, </w:t>
            </w:r>
            <w:r w:rsidR="00417C05" w:rsidRPr="00417C05">
              <w:rPr>
                <w:b/>
                <w:lang w:val="ro-RO" w:bidi="en-US"/>
              </w:rPr>
              <w:t>ENERGIEI ŞI MEDIULUI DE AFACERI</w:t>
            </w:r>
          </w:p>
          <w:p w14:paraId="4083F23C" w14:textId="77777777" w:rsidR="007F0241" w:rsidRDefault="007F0241" w:rsidP="00164FA4">
            <w:pPr>
              <w:rPr>
                <w:b/>
                <w:lang w:val="ro-RO" w:bidi="en-US"/>
              </w:rPr>
            </w:pPr>
          </w:p>
          <w:p w14:paraId="20F0CBD5" w14:textId="77777777" w:rsidR="00417C05" w:rsidRDefault="00417C05" w:rsidP="00164FA4">
            <w:pPr>
              <w:rPr>
                <w:b/>
                <w:lang w:val="ro-RO" w:bidi="en-US"/>
              </w:rPr>
            </w:pPr>
          </w:p>
          <w:p w14:paraId="50C8614D" w14:textId="77777777" w:rsidR="00417C05" w:rsidRPr="00995845" w:rsidRDefault="00417C05" w:rsidP="00164FA4">
            <w:pPr>
              <w:rPr>
                <w:b/>
                <w:lang w:val="ro-RO" w:bidi="en-US"/>
              </w:rPr>
            </w:pPr>
          </w:p>
          <w:p w14:paraId="3249A648" w14:textId="77777777" w:rsidR="00417C05" w:rsidRPr="00417C05" w:rsidRDefault="00A97945" w:rsidP="00417C05">
            <w:pPr>
              <w:pStyle w:val="Heading3"/>
              <w:shd w:val="clear" w:color="auto" w:fill="FFFFFF"/>
              <w:spacing w:before="0" w:after="0"/>
              <w:jc w:val="center"/>
              <w:textAlignment w:val="baseline"/>
              <w:rPr>
                <w:rFonts w:ascii="Times New Roman" w:eastAsia="MS Mincho" w:hAnsi="Times New Roman"/>
                <w:bCs w:val="0"/>
                <w:sz w:val="24"/>
                <w:szCs w:val="24"/>
                <w:lang w:val="ro-RO" w:bidi="en-US"/>
              </w:rPr>
            </w:pPr>
            <w:hyperlink r:id="rId9" w:history="1">
              <w:r w:rsidR="00417C05" w:rsidRPr="00417C05">
                <w:rPr>
                  <w:rFonts w:ascii="Times New Roman" w:eastAsia="MS Mincho" w:hAnsi="Times New Roman"/>
                  <w:bCs w:val="0"/>
                  <w:sz w:val="24"/>
                  <w:szCs w:val="24"/>
                  <w:lang w:val="ro-RO" w:bidi="en-US"/>
                </w:rPr>
                <w:t>Virgil-Daniel POPESCU</w:t>
              </w:r>
            </w:hyperlink>
          </w:p>
          <w:p w14:paraId="4E7CF3CB" w14:textId="77777777" w:rsidR="007F0241" w:rsidRPr="00995845" w:rsidRDefault="007F0241" w:rsidP="00417C05">
            <w:pPr>
              <w:jc w:val="center"/>
              <w:rPr>
                <w:b/>
                <w:lang w:val="ro-RO" w:bidi="en-US"/>
              </w:rPr>
            </w:pPr>
          </w:p>
          <w:p w14:paraId="2AA19235" w14:textId="77777777" w:rsidR="007F0241" w:rsidRPr="00995845" w:rsidRDefault="007F0241" w:rsidP="00164FA4">
            <w:pPr>
              <w:jc w:val="center"/>
              <w:rPr>
                <w:b/>
                <w:lang w:val="ro-RO" w:bidi="en-US"/>
              </w:rPr>
            </w:pPr>
          </w:p>
        </w:tc>
      </w:tr>
      <w:tr w:rsidR="007F0241" w:rsidRPr="00995845" w14:paraId="4CCFF193" w14:textId="77777777" w:rsidTr="00417C05">
        <w:trPr>
          <w:trHeight w:val="975"/>
        </w:trPr>
        <w:tc>
          <w:tcPr>
            <w:tcW w:w="10160" w:type="dxa"/>
            <w:gridSpan w:val="2"/>
            <w:shd w:val="clear" w:color="auto" w:fill="auto"/>
            <w:vAlign w:val="center"/>
          </w:tcPr>
          <w:p w14:paraId="3401B273" w14:textId="77777777" w:rsidR="007F0241" w:rsidRPr="00995845" w:rsidRDefault="007F0241" w:rsidP="00164FA4">
            <w:pPr>
              <w:jc w:val="center"/>
              <w:rPr>
                <w:b/>
                <w:lang w:val="ro-RO"/>
              </w:rPr>
            </w:pPr>
          </w:p>
          <w:p w14:paraId="4027A9BD" w14:textId="77777777" w:rsidR="00417C05" w:rsidRDefault="00417C05" w:rsidP="00164FA4">
            <w:pPr>
              <w:jc w:val="center"/>
              <w:rPr>
                <w:b/>
                <w:lang w:val="ro-RO"/>
              </w:rPr>
            </w:pPr>
          </w:p>
          <w:p w14:paraId="4CA787D5" w14:textId="77777777" w:rsidR="00417C05" w:rsidRDefault="00417C05" w:rsidP="00164FA4">
            <w:pPr>
              <w:jc w:val="center"/>
              <w:rPr>
                <w:b/>
                <w:lang w:val="ro-RO"/>
              </w:rPr>
            </w:pPr>
          </w:p>
          <w:p w14:paraId="5212DDDB" w14:textId="77777777" w:rsidR="007F0241" w:rsidRPr="00995845" w:rsidRDefault="007F0241" w:rsidP="00164FA4">
            <w:pPr>
              <w:jc w:val="center"/>
              <w:rPr>
                <w:b/>
                <w:lang w:val="ro-RO"/>
              </w:rPr>
            </w:pPr>
            <w:r w:rsidRPr="00995845">
              <w:rPr>
                <w:b/>
                <w:lang w:val="ro-RO"/>
              </w:rPr>
              <w:t>MINISTRUL JUSTIȚIEI</w:t>
            </w:r>
          </w:p>
          <w:p w14:paraId="38D5EE7B" w14:textId="77777777" w:rsidR="007F0241" w:rsidRPr="00995845" w:rsidRDefault="007F0241" w:rsidP="00164FA4">
            <w:pPr>
              <w:jc w:val="center"/>
              <w:rPr>
                <w:b/>
                <w:lang w:val="ro-RO"/>
              </w:rPr>
            </w:pPr>
          </w:p>
          <w:p w14:paraId="022AA8F3" w14:textId="77777777" w:rsidR="00417C05" w:rsidRPr="00417C05" w:rsidRDefault="00A97945" w:rsidP="00417C05">
            <w:pPr>
              <w:pStyle w:val="Heading3"/>
              <w:shd w:val="clear" w:color="auto" w:fill="FFFFFF"/>
              <w:spacing w:before="0" w:after="0"/>
              <w:jc w:val="center"/>
              <w:textAlignment w:val="baseline"/>
              <w:rPr>
                <w:rFonts w:ascii="Times New Roman" w:eastAsia="MS Mincho" w:hAnsi="Times New Roman"/>
                <w:bCs w:val="0"/>
                <w:sz w:val="24"/>
                <w:szCs w:val="24"/>
                <w:lang w:val="ro-RO" w:bidi="en-US"/>
              </w:rPr>
            </w:pPr>
            <w:hyperlink r:id="rId10" w:history="1">
              <w:r w:rsidR="00417C05" w:rsidRPr="00417C05">
                <w:rPr>
                  <w:rFonts w:ascii="Times New Roman" w:eastAsia="MS Mincho" w:hAnsi="Times New Roman"/>
                  <w:bCs w:val="0"/>
                  <w:sz w:val="24"/>
                  <w:szCs w:val="24"/>
                  <w:lang w:val="ro-RO" w:bidi="en-US"/>
                </w:rPr>
                <w:t>Marian Cătălin PREDOIU</w:t>
              </w:r>
            </w:hyperlink>
          </w:p>
          <w:p w14:paraId="39A01199" w14:textId="77777777" w:rsidR="007F0241" w:rsidRPr="00995845" w:rsidRDefault="007F0241" w:rsidP="00164FA4">
            <w:pPr>
              <w:jc w:val="center"/>
              <w:rPr>
                <w:b/>
                <w:lang w:val="ro-RO"/>
              </w:rPr>
            </w:pPr>
          </w:p>
        </w:tc>
      </w:tr>
    </w:tbl>
    <w:p w14:paraId="607380D2" w14:textId="77777777" w:rsidR="007F0241" w:rsidRPr="00995845" w:rsidRDefault="007F0241" w:rsidP="007F0241">
      <w:pPr>
        <w:rPr>
          <w:b/>
          <w:bCs/>
          <w:u w:val="single"/>
          <w:lang w:val="ro-RO"/>
        </w:rPr>
      </w:pPr>
    </w:p>
    <w:bookmarkEnd w:id="0"/>
    <w:p w14:paraId="4A21F21F" w14:textId="77777777" w:rsidR="007F0241" w:rsidRPr="00995845" w:rsidRDefault="007F0241" w:rsidP="007F0241">
      <w:pPr>
        <w:outlineLvl w:val="0"/>
        <w:rPr>
          <w:b/>
          <w:u w:val="single"/>
          <w:lang w:val="ro-RO"/>
        </w:rPr>
      </w:pPr>
    </w:p>
    <w:p w14:paraId="13527671" w14:textId="77777777" w:rsidR="007F0241" w:rsidRPr="00995845" w:rsidRDefault="007F0241" w:rsidP="007F0241">
      <w:pPr>
        <w:outlineLvl w:val="0"/>
        <w:rPr>
          <w:b/>
          <w:u w:val="single"/>
          <w:lang w:val="ro-RO"/>
        </w:rPr>
      </w:pPr>
    </w:p>
    <w:p w14:paraId="5D968518" w14:textId="77777777" w:rsidR="007F0241" w:rsidRPr="00995845" w:rsidRDefault="007F0241" w:rsidP="007F0241">
      <w:pPr>
        <w:outlineLvl w:val="0"/>
        <w:rPr>
          <w:b/>
          <w:u w:val="single"/>
          <w:lang w:val="ro-RO"/>
        </w:rPr>
      </w:pPr>
    </w:p>
    <w:p w14:paraId="727CE4D3" w14:textId="77777777" w:rsidR="007F0241" w:rsidRPr="00995845" w:rsidRDefault="007F0241" w:rsidP="007F0241">
      <w:pPr>
        <w:outlineLvl w:val="0"/>
        <w:rPr>
          <w:b/>
          <w:u w:val="single"/>
          <w:lang w:val="ro-RO"/>
        </w:rPr>
      </w:pPr>
    </w:p>
    <w:p w14:paraId="3C635D33" w14:textId="77777777" w:rsidR="007F0241" w:rsidRPr="00995845" w:rsidRDefault="007F0241" w:rsidP="007F0241">
      <w:pPr>
        <w:outlineLvl w:val="0"/>
        <w:rPr>
          <w:b/>
          <w:u w:val="single"/>
          <w:lang w:val="ro-RO"/>
        </w:rPr>
      </w:pPr>
    </w:p>
    <w:p w14:paraId="4AFB52C1" w14:textId="77777777" w:rsidR="007F0241" w:rsidRPr="00995845" w:rsidRDefault="007F0241" w:rsidP="007F0241">
      <w:pPr>
        <w:outlineLvl w:val="0"/>
        <w:rPr>
          <w:b/>
          <w:u w:val="single"/>
          <w:lang w:val="ro-RO"/>
        </w:rPr>
      </w:pPr>
    </w:p>
    <w:p w14:paraId="26A29F2A" w14:textId="77777777" w:rsidR="007F0241" w:rsidRPr="00995845" w:rsidRDefault="007F0241" w:rsidP="007F0241">
      <w:pPr>
        <w:outlineLvl w:val="0"/>
        <w:rPr>
          <w:b/>
          <w:u w:val="single"/>
          <w:lang w:val="ro-RO"/>
        </w:rPr>
      </w:pPr>
    </w:p>
    <w:p w14:paraId="47C0DB0F" w14:textId="77777777" w:rsidR="007F0241" w:rsidRPr="00995845" w:rsidRDefault="007F0241" w:rsidP="007F0241">
      <w:pPr>
        <w:outlineLvl w:val="0"/>
        <w:rPr>
          <w:b/>
          <w:u w:val="single"/>
          <w:lang w:val="ro-RO"/>
        </w:rPr>
      </w:pPr>
    </w:p>
    <w:p w14:paraId="4CA0AF42" w14:textId="77777777" w:rsidR="007F0241" w:rsidRPr="00995845" w:rsidRDefault="007F0241" w:rsidP="007F0241">
      <w:pPr>
        <w:outlineLvl w:val="0"/>
        <w:rPr>
          <w:b/>
          <w:u w:val="single"/>
          <w:lang w:val="ro-RO"/>
        </w:rPr>
      </w:pPr>
    </w:p>
    <w:p w14:paraId="4B704487" w14:textId="77777777" w:rsidR="007F0241" w:rsidRDefault="007F0241" w:rsidP="007F0241">
      <w:pPr>
        <w:outlineLvl w:val="0"/>
        <w:rPr>
          <w:b/>
          <w:u w:val="single"/>
          <w:lang w:val="ro-RO"/>
        </w:rPr>
      </w:pPr>
    </w:p>
    <w:p w14:paraId="2D01C8CF" w14:textId="77777777" w:rsidR="007F0241" w:rsidRPr="00995845" w:rsidRDefault="007F0241" w:rsidP="007F0241">
      <w:pPr>
        <w:outlineLvl w:val="0"/>
        <w:rPr>
          <w:b/>
          <w:u w:val="single"/>
          <w:lang w:val="ro-RO"/>
        </w:rPr>
      </w:pPr>
      <w:r>
        <w:rPr>
          <w:b/>
          <w:u w:val="single"/>
          <w:lang w:val="ro-RO"/>
        </w:rPr>
        <w:br w:type="column"/>
      </w:r>
      <w:r w:rsidRPr="00995845">
        <w:rPr>
          <w:b/>
          <w:u w:val="single"/>
          <w:lang w:val="ro-RO"/>
        </w:rPr>
        <w:lastRenderedPageBreak/>
        <w:t>Avizat:</w:t>
      </w:r>
    </w:p>
    <w:p w14:paraId="388177E7" w14:textId="77777777" w:rsidR="007F0241" w:rsidRPr="00995845" w:rsidRDefault="007F0241" w:rsidP="007F0241">
      <w:pPr>
        <w:outlineLvl w:val="0"/>
        <w:rPr>
          <w:b/>
          <w:u w:val="single"/>
          <w:lang w:val="ro-RO"/>
        </w:rPr>
      </w:pPr>
    </w:p>
    <w:p w14:paraId="59E1B66D" w14:textId="77777777" w:rsidR="007F0241" w:rsidRPr="00995845" w:rsidRDefault="007F0241" w:rsidP="007F0241">
      <w:pPr>
        <w:rPr>
          <w:b/>
          <w:lang w:val="ro-RO"/>
        </w:rPr>
      </w:pPr>
      <w:r w:rsidRPr="00995845">
        <w:rPr>
          <w:b/>
          <w:lang w:val="ro-RO"/>
        </w:rPr>
        <w:t>Secretar de Stat</w:t>
      </w:r>
    </w:p>
    <w:p w14:paraId="432067D0" w14:textId="77777777" w:rsidR="007F0241" w:rsidRPr="00995845" w:rsidRDefault="002E5745" w:rsidP="007F0241">
      <w:pPr>
        <w:rPr>
          <w:b/>
          <w:lang w:val="ro-RO"/>
        </w:rPr>
      </w:pPr>
      <w:r w:rsidRPr="007F3706">
        <w:rPr>
          <w:b/>
        </w:rPr>
        <w:t xml:space="preserve">Mircea FECHET                                                                         </w:t>
      </w:r>
    </w:p>
    <w:p w14:paraId="4D3B65D6" w14:textId="77777777" w:rsidR="007F0241" w:rsidRPr="00995845" w:rsidRDefault="007F0241" w:rsidP="007F0241">
      <w:pPr>
        <w:rPr>
          <w:b/>
          <w:lang w:val="ro-RO"/>
        </w:rPr>
      </w:pPr>
    </w:p>
    <w:p w14:paraId="7ABEA352" w14:textId="77777777" w:rsidR="007F0241" w:rsidRPr="00995845" w:rsidRDefault="007F0241" w:rsidP="007F0241">
      <w:pPr>
        <w:rPr>
          <w:b/>
          <w:lang w:val="ro-RO"/>
        </w:rPr>
      </w:pPr>
    </w:p>
    <w:p w14:paraId="7E8C8628" w14:textId="77777777" w:rsidR="007F0241" w:rsidRPr="00995845" w:rsidRDefault="007F0241" w:rsidP="007F0241">
      <w:pPr>
        <w:rPr>
          <w:b/>
          <w:lang w:val="ro-RO"/>
        </w:rPr>
      </w:pPr>
    </w:p>
    <w:p w14:paraId="7003B905" w14:textId="77777777" w:rsidR="007F0241" w:rsidRPr="00995845" w:rsidRDefault="007F0241" w:rsidP="007F0241">
      <w:pPr>
        <w:rPr>
          <w:b/>
          <w:lang w:val="ro-RO"/>
        </w:rPr>
      </w:pPr>
    </w:p>
    <w:p w14:paraId="59DDE4D5" w14:textId="77777777" w:rsidR="007F0241" w:rsidRPr="00995845" w:rsidRDefault="007F0241" w:rsidP="007F0241">
      <w:pPr>
        <w:rPr>
          <w:b/>
          <w:lang w:val="ro-RO"/>
        </w:rPr>
      </w:pPr>
      <w:r w:rsidRPr="00995845">
        <w:rPr>
          <w:b/>
          <w:lang w:val="ro-RO"/>
        </w:rPr>
        <w:t>Secretar General</w:t>
      </w:r>
    </w:p>
    <w:p w14:paraId="30A0AE80" w14:textId="5C41D4F2" w:rsidR="007F0241" w:rsidRPr="00995845" w:rsidRDefault="009E38D8" w:rsidP="007F0241">
      <w:pPr>
        <w:rPr>
          <w:b/>
          <w:lang w:val="ro-RO"/>
        </w:rPr>
      </w:pPr>
      <w:r>
        <w:rPr>
          <w:b/>
          <w:lang w:val="ro-RO"/>
        </w:rPr>
        <w:t>Ion ANGHEL</w:t>
      </w:r>
      <w:bookmarkStart w:id="1" w:name="_GoBack"/>
      <w:bookmarkEnd w:id="1"/>
    </w:p>
    <w:p w14:paraId="1F53264A" w14:textId="77777777" w:rsidR="007F0241" w:rsidRPr="00995845" w:rsidRDefault="007F0241" w:rsidP="007F0241">
      <w:pPr>
        <w:rPr>
          <w:b/>
          <w:lang w:val="ro-RO"/>
        </w:rPr>
      </w:pPr>
    </w:p>
    <w:p w14:paraId="53F0AACA" w14:textId="77777777" w:rsidR="007F0241" w:rsidRPr="00995845" w:rsidRDefault="007F0241" w:rsidP="007F0241">
      <w:pPr>
        <w:rPr>
          <w:b/>
          <w:lang w:val="ro-RO"/>
        </w:rPr>
      </w:pPr>
    </w:p>
    <w:p w14:paraId="52D4F347" w14:textId="77777777" w:rsidR="007F0241" w:rsidRPr="00995845" w:rsidRDefault="007F0241" w:rsidP="007F0241">
      <w:pPr>
        <w:rPr>
          <w:b/>
          <w:lang w:val="ro-RO"/>
        </w:rPr>
      </w:pPr>
    </w:p>
    <w:p w14:paraId="4E85DA36" w14:textId="77777777" w:rsidR="007F0241" w:rsidRPr="00995845" w:rsidRDefault="007F0241" w:rsidP="007F0241">
      <w:pPr>
        <w:rPr>
          <w:b/>
          <w:lang w:val="ro-RO"/>
        </w:rPr>
      </w:pPr>
    </w:p>
    <w:p w14:paraId="00112748" w14:textId="77777777" w:rsidR="007F0241" w:rsidRPr="00995845" w:rsidRDefault="007F0241" w:rsidP="007F0241">
      <w:pPr>
        <w:rPr>
          <w:b/>
          <w:lang w:val="ro-RO"/>
        </w:rPr>
      </w:pPr>
      <w:r w:rsidRPr="00995845">
        <w:rPr>
          <w:b/>
          <w:lang w:val="ro-RO"/>
        </w:rPr>
        <w:t>Direcția Juridică și Relația cu Parlamentul</w:t>
      </w:r>
    </w:p>
    <w:p w14:paraId="2D1CAA95" w14:textId="77777777" w:rsidR="007F0241" w:rsidRPr="00995845" w:rsidRDefault="007F0241" w:rsidP="007F0241">
      <w:pPr>
        <w:rPr>
          <w:b/>
          <w:lang w:val="ro-RO"/>
        </w:rPr>
      </w:pPr>
      <w:r w:rsidRPr="00995845">
        <w:rPr>
          <w:b/>
          <w:lang w:val="ro-RO"/>
        </w:rPr>
        <w:t xml:space="preserve">Director </w:t>
      </w:r>
    </w:p>
    <w:p w14:paraId="3FC8DD2A" w14:textId="5D6EE78C" w:rsidR="007F0241" w:rsidRPr="00995845" w:rsidRDefault="00792873" w:rsidP="007F0241">
      <w:pPr>
        <w:rPr>
          <w:b/>
          <w:lang w:val="ro-RO"/>
        </w:rPr>
      </w:pPr>
      <w:r>
        <w:rPr>
          <w:b/>
          <w:lang w:val="ro-RO"/>
        </w:rPr>
        <w:t xml:space="preserve"> </w:t>
      </w:r>
    </w:p>
    <w:p w14:paraId="17D95CDE" w14:textId="77777777" w:rsidR="007F0241" w:rsidRPr="00995845" w:rsidRDefault="007F0241" w:rsidP="007F0241">
      <w:pPr>
        <w:rPr>
          <w:lang w:val="ro-RO"/>
        </w:rPr>
      </w:pPr>
    </w:p>
    <w:p w14:paraId="08CC6481" w14:textId="77777777" w:rsidR="007F0241" w:rsidRPr="00995845" w:rsidRDefault="007F0241" w:rsidP="007F0241">
      <w:pPr>
        <w:rPr>
          <w:b/>
          <w:lang w:val="ro-RO"/>
        </w:rPr>
      </w:pPr>
    </w:p>
    <w:p w14:paraId="243850A7" w14:textId="77777777" w:rsidR="007F0241" w:rsidRPr="00995845" w:rsidRDefault="007F0241" w:rsidP="007F0241">
      <w:pPr>
        <w:rPr>
          <w:b/>
          <w:lang w:val="ro-RO"/>
        </w:rPr>
      </w:pPr>
    </w:p>
    <w:p w14:paraId="1F7ADB74" w14:textId="77777777" w:rsidR="007F0241" w:rsidRPr="00995845" w:rsidRDefault="007F0241" w:rsidP="007F0241">
      <w:pPr>
        <w:rPr>
          <w:b/>
          <w:lang w:val="ro-RO"/>
        </w:rPr>
      </w:pPr>
      <w:r w:rsidRPr="00995845">
        <w:rPr>
          <w:b/>
          <w:lang w:val="ro-RO"/>
        </w:rPr>
        <w:t>Directia Afaceri Europene si Relații  Internaționale</w:t>
      </w:r>
    </w:p>
    <w:p w14:paraId="4741C13D" w14:textId="77777777" w:rsidR="007F0241" w:rsidRPr="00995845" w:rsidRDefault="007F0241" w:rsidP="007F0241">
      <w:pPr>
        <w:rPr>
          <w:b/>
          <w:lang w:val="ro-RO"/>
        </w:rPr>
      </w:pPr>
      <w:r w:rsidRPr="00995845">
        <w:rPr>
          <w:b/>
          <w:lang w:val="ro-RO"/>
        </w:rPr>
        <w:t>Director</w:t>
      </w:r>
    </w:p>
    <w:p w14:paraId="409F21AB" w14:textId="77777777" w:rsidR="007F0241" w:rsidRPr="00995845" w:rsidRDefault="007F0241" w:rsidP="007F0241">
      <w:pPr>
        <w:rPr>
          <w:b/>
          <w:lang w:val="ro-RO"/>
        </w:rPr>
      </w:pPr>
      <w:r w:rsidRPr="00995845">
        <w:rPr>
          <w:b/>
          <w:lang w:val="ro-RO"/>
        </w:rPr>
        <w:t>Liliana BARA</w:t>
      </w:r>
    </w:p>
    <w:p w14:paraId="33DB752A" w14:textId="77777777" w:rsidR="007F0241" w:rsidRPr="00995845" w:rsidRDefault="007F0241" w:rsidP="007F0241">
      <w:pPr>
        <w:rPr>
          <w:b/>
          <w:lang w:val="ro-RO"/>
        </w:rPr>
      </w:pPr>
    </w:p>
    <w:p w14:paraId="052A9026" w14:textId="77777777" w:rsidR="007F0241" w:rsidRPr="00995845" w:rsidRDefault="007F0241" w:rsidP="007F0241">
      <w:pPr>
        <w:rPr>
          <w:b/>
          <w:lang w:val="ro-RO"/>
        </w:rPr>
      </w:pPr>
    </w:p>
    <w:p w14:paraId="4CE8A4A5" w14:textId="77777777" w:rsidR="007F0241" w:rsidRPr="00995845" w:rsidRDefault="007F0241" w:rsidP="007F0241">
      <w:pPr>
        <w:rPr>
          <w:b/>
          <w:lang w:val="ro-RO"/>
        </w:rPr>
      </w:pPr>
    </w:p>
    <w:p w14:paraId="1401398B" w14:textId="77777777" w:rsidR="007F0241" w:rsidRPr="00995845" w:rsidRDefault="007F0241" w:rsidP="007F0241">
      <w:pPr>
        <w:rPr>
          <w:b/>
          <w:lang w:val="ro-RO"/>
        </w:rPr>
      </w:pPr>
    </w:p>
    <w:p w14:paraId="0E0936AE" w14:textId="77777777" w:rsidR="007F0241" w:rsidRPr="00995845" w:rsidRDefault="007F0241" w:rsidP="007F0241">
      <w:pPr>
        <w:rPr>
          <w:b/>
          <w:lang w:val="ro-RO"/>
        </w:rPr>
      </w:pPr>
      <w:r w:rsidRPr="00995845">
        <w:rPr>
          <w:b/>
          <w:lang w:val="ro-RO"/>
        </w:rPr>
        <w:t xml:space="preserve">Direcţia Generală Deșeuri, Situri Contaminate </w:t>
      </w:r>
    </w:p>
    <w:p w14:paraId="128378FF" w14:textId="77777777" w:rsidR="007F0241" w:rsidRPr="00995845" w:rsidRDefault="007F0241" w:rsidP="007F0241">
      <w:pPr>
        <w:rPr>
          <w:b/>
          <w:lang w:val="ro-RO"/>
        </w:rPr>
      </w:pPr>
      <w:r w:rsidRPr="00995845">
        <w:rPr>
          <w:b/>
          <w:lang w:val="ro-RO"/>
        </w:rPr>
        <w:t>și Substanțe Periculoase</w:t>
      </w:r>
    </w:p>
    <w:p w14:paraId="58C58290" w14:textId="77777777" w:rsidR="007F0241" w:rsidRPr="00995845" w:rsidRDefault="007F0241" w:rsidP="007F0241">
      <w:pPr>
        <w:rPr>
          <w:b/>
          <w:lang w:val="ro-RO"/>
        </w:rPr>
      </w:pPr>
      <w:r w:rsidRPr="00995845">
        <w:rPr>
          <w:b/>
          <w:lang w:val="ro-RO"/>
        </w:rPr>
        <w:t>Director General</w:t>
      </w:r>
    </w:p>
    <w:p w14:paraId="2C2EA36F" w14:textId="77777777" w:rsidR="007F0241" w:rsidRPr="00995845" w:rsidRDefault="007F0241" w:rsidP="007F0241">
      <w:pPr>
        <w:rPr>
          <w:b/>
          <w:lang w:val="ro-RO"/>
        </w:rPr>
      </w:pPr>
      <w:r w:rsidRPr="00995845">
        <w:rPr>
          <w:b/>
          <w:lang w:val="ro-RO"/>
        </w:rPr>
        <w:t>Cosmin Dorin TEODORU</w:t>
      </w:r>
    </w:p>
    <w:p w14:paraId="144099FE" w14:textId="77777777" w:rsidR="007F0241" w:rsidRPr="00995845" w:rsidRDefault="007F0241" w:rsidP="007F0241">
      <w:pPr>
        <w:rPr>
          <w:b/>
          <w:lang w:val="ro-RO"/>
        </w:rPr>
      </w:pPr>
    </w:p>
    <w:p w14:paraId="0D604F63" w14:textId="77777777" w:rsidR="007F0241" w:rsidRPr="00995845" w:rsidRDefault="007F0241" w:rsidP="007F0241">
      <w:pPr>
        <w:rPr>
          <w:b/>
          <w:lang w:val="ro-RO"/>
        </w:rPr>
      </w:pPr>
    </w:p>
    <w:p w14:paraId="42D23F96" w14:textId="77777777" w:rsidR="007F0241" w:rsidRPr="00995845" w:rsidRDefault="007F0241" w:rsidP="007F0241">
      <w:pPr>
        <w:rPr>
          <w:b/>
          <w:lang w:val="ro-RO"/>
        </w:rPr>
      </w:pPr>
    </w:p>
    <w:p w14:paraId="16DE474B" w14:textId="77777777" w:rsidR="007F0241" w:rsidRPr="00995845" w:rsidRDefault="007F0241" w:rsidP="007F0241">
      <w:pPr>
        <w:rPr>
          <w:b/>
          <w:lang w:val="ro-RO"/>
        </w:rPr>
      </w:pPr>
    </w:p>
    <w:p w14:paraId="6861CE01" w14:textId="77777777" w:rsidR="007F0241" w:rsidRPr="00995845" w:rsidRDefault="007F0241" w:rsidP="007F0241">
      <w:pPr>
        <w:rPr>
          <w:b/>
          <w:lang w:val="ro-RO"/>
        </w:rPr>
      </w:pPr>
      <w:r w:rsidRPr="00995845">
        <w:rPr>
          <w:b/>
          <w:lang w:val="ro-RO"/>
        </w:rPr>
        <w:t xml:space="preserve">Direcția Gestionarea Deșeurilor </w:t>
      </w:r>
    </w:p>
    <w:p w14:paraId="0B28DA54" w14:textId="77777777" w:rsidR="007F0241" w:rsidRPr="00995845" w:rsidRDefault="007F0241" w:rsidP="007F0241">
      <w:pPr>
        <w:rPr>
          <w:b/>
          <w:lang w:val="ro-RO"/>
        </w:rPr>
      </w:pPr>
      <w:r w:rsidRPr="00995845">
        <w:rPr>
          <w:b/>
          <w:lang w:val="ro-RO"/>
        </w:rPr>
        <w:t>Director</w:t>
      </w:r>
    </w:p>
    <w:p w14:paraId="394C7373" w14:textId="77777777" w:rsidR="007F0241" w:rsidRPr="00995845" w:rsidRDefault="007F0241" w:rsidP="007F0241">
      <w:pPr>
        <w:rPr>
          <w:b/>
          <w:lang w:val="ro-RO"/>
        </w:rPr>
      </w:pPr>
      <w:r w:rsidRPr="00995845">
        <w:rPr>
          <w:b/>
          <w:lang w:val="ro-RO"/>
        </w:rPr>
        <w:t>Flavius ARDELEAN</w:t>
      </w:r>
      <w:r w:rsidRPr="00995845">
        <w:rPr>
          <w:b/>
          <w:lang w:val="ro-RO"/>
        </w:rPr>
        <w:tab/>
        <w:t xml:space="preserve">    </w:t>
      </w:r>
    </w:p>
    <w:p w14:paraId="44F5DFB0" w14:textId="77777777" w:rsidR="007F0241" w:rsidRPr="00995845" w:rsidRDefault="007F0241" w:rsidP="007F0241">
      <w:pPr>
        <w:rPr>
          <w:b/>
          <w:lang w:val="ro-RO"/>
        </w:rPr>
      </w:pPr>
    </w:p>
    <w:p w14:paraId="279345C5" w14:textId="77777777" w:rsidR="007F0241" w:rsidRPr="00995845" w:rsidRDefault="007F0241" w:rsidP="007F0241">
      <w:pPr>
        <w:rPr>
          <w:b/>
          <w:lang w:val="ro-RO"/>
        </w:rPr>
      </w:pPr>
    </w:p>
    <w:p w14:paraId="57E86072" w14:textId="77777777" w:rsidR="007F0241" w:rsidRPr="00995845" w:rsidRDefault="007F0241" w:rsidP="007F0241">
      <w:pPr>
        <w:rPr>
          <w:b/>
          <w:lang w:val="ro-RO"/>
        </w:rPr>
      </w:pPr>
    </w:p>
    <w:p w14:paraId="08C8D301" w14:textId="77777777" w:rsidR="007F0241" w:rsidRPr="00995845" w:rsidRDefault="007F0241" w:rsidP="007F0241">
      <w:pPr>
        <w:rPr>
          <w:b/>
          <w:lang w:val="ro-RO"/>
        </w:rPr>
      </w:pPr>
    </w:p>
    <w:p w14:paraId="1B537BD2" w14:textId="77777777" w:rsidR="007F0241" w:rsidRPr="00995845" w:rsidRDefault="007F0241" w:rsidP="007F0241">
      <w:pPr>
        <w:rPr>
          <w:b/>
          <w:lang w:val="ro-RO"/>
        </w:rPr>
      </w:pPr>
    </w:p>
    <w:p w14:paraId="6CC1F271" w14:textId="77777777" w:rsidR="007F0241" w:rsidRPr="00995845" w:rsidRDefault="007F0241" w:rsidP="007F0241">
      <w:pPr>
        <w:rPr>
          <w:b/>
          <w:lang w:val="ro-RO"/>
        </w:rPr>
      </w:pPr>
    </w:p>
    <w:p w14:paraId="677EBA02" w14:textId="3067881F" w:rsidR="007F0241" w:rsidRPr="00995845" w:rsidRDefault="007F0241" w:rsidP="007F0241">
      <w:pPr>
        <w:rPr>
          <w:b/>
          <w:lang w:val="ro-RO"/>
        </w:rPr>
      </w:pPr>
      <w:r w:rsidRPr="00995845">
        <w:rPr>
          <w:b/>
          <w:lang w:val="ro-RO"/>
        </w:rPr>
        <w:t>Sabina I</w:t>
      </w:r>
      <w:r w:rsidR="0033231C" w:rsidRPr="00995845">
        <w:rPr>
          <w:b/>
          <w:lang w:val="ro-RO"/>
        </w:rPr>
        <w:t>rimescu</w:t>
      </w:r>
      <w:r w:rsidRPr="00995845">
        <w:rPr>
          <w:b/>
          <w:lang w:val="ro-RO"/>
        </w:rPr>
        <w:t>, consilier superior - Direcţia Gestionarea Deșeurilor</w:t>
      </w:r>
    </w:p>
    <w:p w14:paraId="03B2BA5E" w14:textId="77777777" w:rsidR="0030110F" w:rsidRPr="00995845" w:rsidRDefault="0030110F" w:rsidP="0030110F">
      <w:pPr>
        <w:rPr>
          <w:b/>
          <w:lang w:val="ro-RO"/>
        </w:rPr>
      </w:pPr>
      <w:r>
        <w:rPr>
          <w:b/>
          <w:lang w:val="ro-RO"/>
        </w:rPr>
        <w:t>Leonard Crăciun</w:t>
      </w:r>
      <w:r w:rsidRPr="00995845">
        <w:rPr>
          <w:b/>
          <w:lang w:val="ro-RO"/>
        </w:rPr>
        <w:t>, consilier superior - Direcția Gestionarea Deșeurilor</w:t>
      </w:r>
    </w:p>
    <w:p w14:paraId="7AA4613E" w14:textId="77777777" w:rsidR="007F0241" w:rsidRPr="00995845" w:rsidRDefault="007F0241" w:rsidP="007F0241">
      <w:pPr>
        <w:rPr>
          <w:b/>
          <w:bCs/>
          <w:u w:val="single"/>
          <w:lang w:val="ro-RO"/>
        </w:rPr>
      </w:pPr>
    </w:p>
    <w:p w14:paraId="0F33711A" w14:textId="77777777" w:rsidR="007F0241" w:rsidRPr="00995845" w:rsidRDefault="007F0241" w:rsidP="007F0241">
      <w:pPr>
        <w:rPr>
          <w:b/>
          <w:bCs/>
          <w:u w:val="single"/>
          <w:lang w:val="ro-RO"/>
        </w:rPr>
      </w:pPr>
    </w:p>
    <w:sectPr w:rsidR="007F0241" w:rsidRPr="00995845" w:rsidSect="001E15D6">
      <w:pgSz w:w="11906" w:h="16838"/>
      <w:pgMar w:top="1411" w:right="1016"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FEC44" w14:textId="77777777" w:rsidR="00A97945" w:rsidRDefault="00A97945" w:rsidP="004D4EC2">
      <w:r>
        <w:separator/>
      </w:r>
    </w:p>
  </w:endnote>
  <w:endnote w:type="continuationSeparator" w:id="0">
    <w:p w14:paraId="78447F79" w14:textId="77777777" w:rsidR="00A97945" w:rsidRDefault="00A97945" w:rsidP="004D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5C5F7" w14:textId="77777777" w:rsidR="00A97945" w:rsidRDefault="00A97945" w:rsidP="004D4EC2">
      <w:r>
        <w:separator/>
      </w:r>
    </w:p>
  </w:footnote>
  <w:footnote w:type="continuationSeparator" w:id="0">
    <w:p w14:paraId="5B6756C0" w14:textId="77777777" w:rsidR="00A97945" w:rsidRDefault="00A97945" w:rsidP="004D4EC2">
      <w:r>
        <w:continuationSeparator/>
      </w:r>
    </w:p>
  </w:footnote>
  <w:footnote w:id="1">
    <w:p w14:paraId="1AF299B6" w14:textId="77777777" w:rsidR="00900120" w:rsidRPr="00307FD4" w:rsidRDefault="00900120" w:rsidP="00900120">
      <w:pPr>
        <w:pStyle w:val="FootnoteText"/>
        <w:rPr>
          <w:lang w:val="en-GB"/>
        </w:rPr>
      </w:pPr>
      <w:r>
        <w:rPr>
          <w:rStyle w:val="FootnoteReference"/>
        </w:rPr>
        <w:footnoteRef/>
      </w:r>
      <w:r>
        <w:t xml:space="preserve"> </w:t>
      </w:r>
      <w:r w:rsidRPr="00487EC4">
        <w:rPr>
          <w:rFonts w:eastAsia="Times New Roman"/>
        </w:rPr>
        <w:t xml:space="preserve">publicată în Jurnalul Oficial al Uniunii Europene, seria L, nr. </w:t>
      </w:r>
      <w:r>
        <w:rPr>
          <w:rFonts w:eastAsia="Times New Roman"/>
        </w:rPr>
        <w:t xml:space="preserve">262 </w:t>
      </w:r>
      <w:r w:rsidRPr="00487EC4">
        <w:rPr>
          <w:rFonts w:eastAsia="Times New Roman"/>
        </w:rPr>
        <w:t xml:space="preserve">din </w:t>
      </w:r>
      <w:r>
        <w:rPr>
          <w:rFonts w:eastAsia="Times New Roman"/>
        </w:rPr>
        <w:t>01 octombrie</w:t>
      </w:r>
      <w:r w:rsidRPr="00487EC4">
        <w:rPr>
          <w:rFonts w:eastAsia="Times New Roman"/>
        </w:rPr>
        <w:t xml:space="preserve"> 20</w:t>
      </w:r>
      <w:r>
        <w:rPr>
          <w:rFonts w:eastAsia="Times New Roman"/>
        </w:rPr>
        <w:t>0</w:t>
      </w:r>
      <w:r w:rsidRPr="00487EC4">
        <w:rPr>
          <w:rFonts w:eastAsia="Times New Roman"/>
        </w:rPr>
        <w:t>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229AF"/>
    <w:multiLevelType w:val="hybridMultilevel"/>
    <w:tmpl w:val="CEA2D05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14E5FD1"/>
    <w:multiLevelType w:val="hybridMultilevel"/>
    <w:tmpl w:val="401CC826"/>
    <w:lvl w:ilvl="0" w:tplc="DC4AAC7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A440D1F"/>
    <w:multiLevelType w:val="hybridMultilevel"/>
    <w:tmpl w:val="3EE08466"/>
    <w:lvl w:ilvl="0" w:tplc="E43C5222">
      <w:start w:val="2"/>
      <w:numFmt w:val="bullet"/>
      <w:lvlText w:val="-"/>
      <w:lvlJc w:val="left"/>
      <w:pPr>
        <w:ind w:left="541" w:hanging="360"/>
      </w:pPr>
      <w:rPr>
        <w:rFonts w:ascii="Times New Roman" w:eastAsia="Calibri" w:hAnsi="Times New Roman" w:cs="Times New Roman" w:hint="default"/>
      </w:rPr>
    </w:lvl>
    <w:lvl w:ilvl="1" w:tplc="04180003" w:tentative="1">
      <w:start w:val="1"/>
      <w:numFmt w:val="bullet"/>
      <w:lvlText w:val="o"/>
      <w:lvlJc w:val="left"/>
      <w:pPr>
        <w:ind w:left="1261" w:hanging="360"/>
      </w:pPr>
      <w:rPr>
        <w:rFonts w:ascii="Courier New" w:hAnsi="Courier New" w:cs="Courier New" w:hint="default"/>
      </w:rPr>
    </w:lvl>
    <w:lvl w:ilvl="2" w:tplc="04180005" w:tentative="1">
      <w:start w:val="1"/>
      <w:numFmt w:val="bullet"/>
      <w:lvlText w:val=""/>
      <w:lvlJc w:val="left"/>
      <w:pPr>
        <w:ind w:left="1981" w:hanging="360"/>
      </w:pPr>
      <w:rPr>
        <w:rFonts w:ascii="Wingdings" w:hAnsi="Wingdings" w:hint="default"/>
      </w:rPr>
    </w:lvl>
    <w:lvl w:ilvl="3" w:tplc="04180001" w:tentative="1">
      <w:start w:val="1"/>
      <w:numFmt w:val="bullet"/>
      <w:lvlText w:val=""/>
      <w:lvlJc w:val="left"/>
      <w:pPr>
        <w:ind w:left="2701" w:hanging="360"/>
      </w:pPr>
      <w:rPr>
        <w:rFonts w:ascii="Symbol" w:hAnsi="Symbol" w:hint="default"/>
      </w:rPr>
    </w:lvl>
    <w:lvl w:ilvl="4" w:tplc="04180003" w:tentative="1">
      <w:start w:val="1"/>
      <w:numFmt w:val="bullet"/>
      <w:lvlText w:val="o"/>
      <w:lvlJc w:val="left"/>
      <w:pPr>
        <w:ind w:left="3421" w:hanging="360"/>
      </w:pPr>
      <w:rPr>
        <w:rFonts w:ascii="Courier New" w:hAnsi="Courier New" w:cs="Courier New" w:hint="default"/>
      </w:rPr>
    </w:lvl>
    <w:lvl w:ilvl="5" w:tplc="04180005" w:tentative="1">
      <w:start w:val="1"/>
      <w:numFmt w:val="bullet"/>
      <w:lvlText w:val=""/>
      <w:lvlJc w:val="left"/>
      <w:pPr>
        <w:ind w:left="4141" w:hanging="360"/>
      </w:pPr>
      <w:rPr>
        <w:rFonts w:ascii="Wingdings" w:hAnsi="Wingdings" w:hint="default"/>
      </w:rPr>
    </w:lvl>
    <w:lvl w:ilvl="6" w:tplc="04180001" w:tentative="1">
      <w:start w:val="1"/>
      <w:numFmt w:val="bullet"/>
      <w:lvlText w:val=""/>
      <w:lvlJc w:val="left"/>
      <w:pPr>
        <w:ind w:left="4861" w:hanging="360"/>
      </w:pPr>
      <w:rPr>
        <w:rFonts w:ascii="Symbol" w:hAnsi="Symbol" w:hint="default"/>
      </w:rPr>
    </w:lvl>
    <w:lvl w:ilvl="7" w:tplc="04180003" w:tentative="1">
      <w:start w:val="1"/>
      <w:numFmt w:val="bullet"/>
      <w:lvlText w:val="o"/>
      <w:lvlJc w:val="left"/>
      <w:pPr>
        <w:ind w:left="5581" w:hanging="360"/>
      </w:pPr>
      <w:rPr>
        <w:rFonts w:ascii="Courier New" w:hAnsi="Courier New" w:cs="Courier New" w:hint="default"/>
      </w:rPr>
    </w:lvl>
    <w:lvl w:ilvl="8" w:tplc="04180005" w:tentative="1">
      <w:start w:val="1"/>
      <w:numFmt w:val="bullet"/>
      <w:lvlText w:val=""/>
      <w:lvlJc w:val="left"/>
      <w:pPr>
        <w:ind w:left="630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41"/>
    <w:rsid w:val="00026FBA"/>
    <w:rsid w:val="00070FAD"/>
    <w:rsid w:val="00106ADF"/>
    <w:rsid w:val="001565B2"/>
    <w:rsid w:val="001D2AB5"/>
    <w:rsid w:val="0022749E"/>
    <w:rsid w:val="002E5745"/>
    <w:rsid w:val="0030110F"/>
    <w:rsid w:val="0033231C"/>
    <w:rsid w:val="003A2D61"/>
    <w:rsid w:val="00417C05"/>
    <w:rsid w:val="004D4EC2"/>
    <w:rsid w:val="00626FD2"/>
    <w:rsid w:val="006C47A0"/>
    <w:rsid w:val="00733835"/>
    <w:rsid w:val="007725C6"/>
    <w:rsid w:val="00780A19"/>
    <w:rsid w:val="00783026"/>
    <w:rsid w:val="00792873"/>
    <w:rsid w:val="007D71A6"/>
    <w:rsid w:val="007F0241"/>
    <w:rsid w:val="00856ABD"/>
    <w:rsid w:val="00875CA1"/>
    <w:rsid w:val="008D250F"/>
    <w:rsid w:val="008D4438"/>
    <w:rsid w:val="008E67A2"/>
    <w:rsid w:val="00900120"/>
    <w:rsid w:val="0091084C"/>
    <w:rsid w:val="009230C8"/>
    <w:rsid w:val="0092547D"/>
    <w:rsid w:val="009E38D8"/>
    <w:rsid w:val="00A15232"/>
    <w:rsid w:val="00A514BE"/>
    <w:rsid w:val="00A53D65"/>
    <w:rsid w:val="00A97945"/>
    <w:rsid w:val="00AE3A5C"/>
    <w:rsid w:val="00B33B3D"/>
    <w:rsid w:val="00B52925"/>
    <w:rsid w:val="00B747D5"/>
    <w:rsid w:val="00BD6CCD"/>
    <w:rsid w:val="00CA368E"/>
    <w:rsid w:val="00CE6286"/>
    <w:rsid w:val="00EA5CC3"/>
    <w:rsid w:val="00EE4192"/>
    <w:rsid w:val="00F259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64CE"/>
  <w15:docId w15:val="{7D39DB2B-032F-47CD-97B2-172DA7F5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41"/>
    <w:pPr>
      <w:spacing w:after="0" w:line="240" w:lineRule="auto"/>
    </w:pPr>
    <w:rPr>
      <w:rFonts w:ascii="Times New Roman" w:eastAsia="MS Mincho" w:hAnsi="Times New Roman" w:cs="Times New Roman"/>
      <w:sz w:val="24"/>
      <w:szCs w:val="24"/>
      <w:lang w:val="en-US"/>
    </w:rPr>
  </w:style>
  <w:style w:type="paragraph" w:styleId="Heading3">
    <w:name w:val="heading 3"/>
    <w:basedOn w:val="Normal"/>
    <w:next w:val="Normal"/>
    <w:link w:val="Heading3Char"/>
    <w:uiPriority w:val="9"/>
    <w:semiHidden/>
    <w:unhideWhenUsed/>
    <w:qFormat/>
    <w:rsid w:val="007F024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F0241"/>
    <w:rPr>
      <w:rFonts w:ascii="Cambria" w:eastAsia="Times New Roman" w:hAnsi="Cambria" w:cs="Times New Roman"/>
      <w:b/>
      <w:bCs/>
      <w:sz w:val="26"/>
      <w:szCs w:val="26"/>
      <w:lang w:val="en-US"/>
    </w:rPr>
  </w:style>
  <w:style w:type="paragraph" w:styleId="Title">
    <w:name w:val="Title"/>
    <w:basedOn w:val="Normal"/>
    <w:link w:val="TitleChar"/>
    <w:qFormat/>
    <w:rsid w:val="007F0241"/>
    <w:pPr>
      <w:jc w:val="center"/>
    </w:pPr>
    <w:rPr>
      <w:rFonts w:eastAsia="Times New Roman"/>
      <w:b/>
      <w:sz w:val="28"/>
      <w:szCs w:val="20"/>
      <w:lang w:val="x-none" w:eastAsia="x-none"/>
    </w:rPr>
  </w:style>
  <w:style w:type="character" w:customStyle="1" w:styleId="TitleChar">
    <w:name w:val="Title Char"/>
    <w:basedOn w:val="DefaultParagraphFont"/>
    <w:link w:val="Title"/>
    <w:rsid w:val="007F0241"/>
    <w:rPr>
      <w:rFonts w:ascii="Times New Roman" w:eastAsia="Times New Roman" w:hAnsi="Times New Roman" w:cs="Times New Roman"/>
      <w:b/>
      <w:sz w:val="28"/>
      <w:szCs w:val="20"/>
      <w:lang w:val="x-none" w:eastAsia="x-none"/>
    </w:rPr>
  </w:style>
  <w:style w:type="paragraph" w:styleId="ListParagraph">
    <w:name w:val="List Paragraph"/>
    <w:basedOn w:val="Normal"/>
    <w:uiPriority w:val="34"/>
    <w:qFormat/>
    <w:rsid w:val="007F0241"/>
    <w:pPr>
      <w:spacing w:after="120" w:line="276" w:lineRule="auto"/>
      <w:ind w:left="720"/>
      <w:contextualSpacing/>
      <w:jc w:val="both"/>
    </w:pPr>
    <w:rPr>
      <w:rFonts w:ascii="Trebuchet MS" w:hAnsi="Trebuchet MS"/>
      <w:sz w:val="22"/>
      <w:szCs w:val="22"/>
    </w:rPr>
  </w:style>
  <w:style w:type="paragraph" w:customStyle="1" w:styleId="Default">
    <w:name w:val="Default"/>
    <w:rsid w:val="007F0241"/>
    <w:pPr>
      <w:autoSpaceDE w:val="0"/>
      <w:autoSpaceDN w:val="0"/>
      <w:adjustRightInd w:val="0"/>
      <w:spacing w:after="0" w:line="240" w:lineRule="auto"/>
    </w:pPr>
    <w:rPr>
      <w:rFonts w:ascii="EUAlbertina" w:eastAsia="Calibri" w:hAnsi="EUAlbertina" w:cs="EUAlbertina"/>
      <w:color w:val="000000"/>
      <w:sz w:val="24"/>
      <w:szCs w:val="24"/>
      <w:lang w:eastAsia="ro-RO"/>
    </w:rPr>
  </w:style>
  <w:style w:type="paragraph" w:styleId="BalloonText">
    <w:name w:val="Balloon Text"/>
    <w:basedOn w:val="Normal"/>
    <w:link w:val="BalloonTextChar"/>
    <w:uiPriority w:val="99"/>
    <w:semiHidden/>
    <w:unhideWhenUsed/>
    <w:rsid w:val="009230C8"/>
    <w:rPr>
      <w:rFonts w:ascii="Tahoma" w:hAnsi="Tahoma" w:cs="Tahoma"/>
      <w:sz w:val="16"/>
      <w:szCs w:val="16"/>
    </w:rPr>
  </w:style>
  <w:style w:type="character" w:customStyle="1" w:styleId="BalloonTextChar">
    <w:name w:val="Balloon Text Char"/>
    <w:basedOn w:val="DefaultParagraphFont"/>
    <w:link w:val="BalloonText"/>
    <w:uiPriority w:val="99"/>
    <w:semiHidden/>
    <w:rsid w:val="009230C8"/>
    <w:rPr>
      <w:rFonts w:ascii="Tahoma" w:eastAsia="MS Mincho" w:hAnsi="Tahoma" w:cs="Tahoma"/>
      <w:sz w:val="16"/>
      <w:szCs w:val="16"/>
      <w:lang w:val="en-US"/>
    </w:rPr>
  </w:style>
  <w:style w:type="character" w:styleId="Hyperlink">
    <w:name w:val="Hyperlink"/>
    <w:basedOn w:val="DefaultParagraphFont"/>
    <w:uiPriority w:val="99"/>
    <w:semiHidden/>
    <w:unhideWhenUsed/>
    <w:rsid w:val="00417C05"/>
    <w:rPr>
      <w:color w:val="0000FF"/>
      <w:u w:val="single"/>
    </w:rPr>
  </w:style>
  <w:style w:type="paragraph" w:styleId="NormalWeb">
    <w:name w:val="Normal (Web)"/>
    <w:basedOn w:val="Normal"/>
    <w:uiPriority w:val="99"/>
    <w:semiHidden/>
    <w:unhideWhenUsed/>
    <w:rsid w:val="00417C05"/>
    <w:pPr>
      <w:spacing w:before="100" w:beforeAutospacing="1" w:after="100" w:afterAutospacing="1"/>
    </w:pPr>
    <w:rPr>
      <w:rFonts w:eastAsia="Times New Roman"/>
      <w:lang w:val="ro-RO" w:eastAsia="ro-RO"/>
    </w:rPr>
  </w:style>
  <w:style w:type="character" w:styleId="CommentReference">
    <w:name w:val="annotation reference"/>
    <w:basedOn w:val="DefaultParagraphFont"/>
    <w:uiPriority w:val="99"/>
    <w:semiHidden/>
    <w:unhideWhenUsed/>
    <w:rsid w:val="004D4EC2"/>
    <w:rPr>
      <w:sz w:val="16"/>
      <w:szCs w:val="16"/>
    </w:rPr>
  </w:style>
  <w:style w:type="paragraph" w:styleId="CommentText">
    <w:name w:val="annotation text"/>
    <w:basedOn w:val="Normal"/>
    <w:link w:val="CommentTextChar"/>
    <w:uiPriority w:val="99"/>
    <w:semiHidden/>
    <w:unhideWhenUsed/>
    <w:rsid w:val="004D4EC2"/>
    <w:rPr>
      <w:sz w:val="20"/>
      <w:szCs w:val="20"/>
    </w:rPr>
  </w:style>
  <w:style w:type="character" w:customStyle="1" w:styleId="CommentTextChar">
    <w:name w:val="Comment Text Char"/>
    <w:basedOn w:val="DefaultParagraphFont"/>
    <w:link w:val="CommentText"/>
    <w:uiPriority w:val="99"/>
    <w:semiHidden/>
    <w:rsid w:val="004D4EC2"/>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4EC2"/>
    <w:rPr>
      <w:b/>
      <w:bCs/>
    </w:rPr>
  </w:style>
  <w:style w:type="character" w:customStyle="1" w:styleId="CommentSubjectChar">
    <w:name w:val="Comment Subject Char"/>
    <w:basedOn w:val="CommentTextChar"/>
    <w:link w:val="CommentSubject"/>
    <w:uiPriority w:val="99"/>
    <w:semiHidden/>
    <w:rsid w:val="004D4EC2"/>
    <w:rPr>
      <w:rFonts w:ascii="Times New Roman" w:eastAsia="MS Mincho" w:hAnsi="Times New Roman" w:cs="Times New Roman"/>
      <w:b/>
      <w:bCs/>
      <w:sz w:val="20"/>
      <w:szCs w:val="20"/>
      <w:lang w:val="en-US"/>
    </w:rPr>
  </w:style>
  <w:style w:type="paragraph" w:styleId="FootnoteText">
    <w:name w:val="footnote text"/>
    <w:basedOn w:val="Normal"/>
    <w:link w:val="FootnoteTextChar"/>
    <w:uiPriority w:val="99"/>
    <w:semiHidden/>
    <w:unhideWhenUsed/>
    <w:rsid w:val="004D4EC2"/>
    <w:rPr>
      <w:sz w:val="20"/>
      <w:szCs w:val="20"/>
    </w:rPr>
  </w:style>
  <w:style w:type="character" w:customStyle="1" w:styleId="FootnoteTextChar">
    <w:name w:val="Footnote Text Char"/>
    <w:basedOn w:val="DefaultParagraphFont"/>
    <w:link w:val="FootnoteText"/>
    <w:uiPriority w:val="99"/>
    <w:semiHidden/>
    <w:rsid w:val="004D4EC2"/>
    <w:rPr>
      <w:rFonts w:ascii="Times New Roman" w:eastAsia="MS Mincho" w:hAnsi="Times New Roman" w:cs="Times New Roman"/>
      <w:sz w:val="20"/>
      <w:szCs w:val="20"/>
      <w:lang w:val="en-US"/>
    </w:rPr>
  </w:style>
  <w:style w:type="character" w:styleId="FootnoteReference">
    <w:name w:val="footnote reference"/>
    <w:basedOn w:val="DefaultParagraphFont"/>
    <w:uiPriority w:val="99"/>
    <w:semiHidden/>
    <w:unhideWhenUsed/>
    <w:rsid w:val="004D4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15219">
      <w:bodyDiv w:val="1"/>
      <w:marLeft w:val="0"/>
      <w:marRight w:val="0"/>
      <w:marTop w:val="0"/>
      <w:marBottom w:val="0"/>
      <w:divBdr>
        <w:top w:val="none" w:sz="0" w:space="0" w:color="auto"/>
        <w:left w:val="none" w:sz="0" w:space="0" w:color="auto"/>
        <w:bottom w:val="none" w:sz="0" w:space="0" w:color="auto"/>
        <w:right w:val="none" w:sz="0" w:space="0" w:color="auto"/>
      </w:divBdr>
    </w:div>
    <w:div w:id="1415083067">
      <w:bodyDiv w:val="1"/>
      <w:marLeft w:val="0"/>
      <w:marRight w:val="0"/>
      <w:marTop w:val="0"/>
      <w:marBottom w:val="0"/>
      <w:divBdr>
        <w:top w:val="none" w:sz="0" w:space="0" w:color="auto"/>
        <w:left w:val="none" w:sz="0" w:space="0" w:color="auto"/>
        <w:bottom w:val="none" w:sz="0" w:space="0" w:color="auto"/>
        <w:right w:val="none" w:sz="0" w:space="0" w:color="auto"/>
      </w:divBdr>
    </w:div>
    <w:div w:id="1954170657">
      <w:bodyDiv w:val="1"/>
      <w:marLeft w:val="0"/>
      <w:marRight w:val="0"/>
      <w:marTop w:val="0"/>
      <w:marBottom w:val="0"/>
      <w:divBdr>
        <w:top w:val="none" w:sz="0" w:space="0" w:color="auto"/>
        <w:left w:val="none" w:sz="0" w:space="0" w:color="auto"/>
        <w:bottom w:val="none" w:sz="0" w:space="0" w:color="auto"/>
        <w:right w:val="none" w:sz="0" w:space="0" w:color="auto"/>
      </w:divBdr>
    </w:div>
    <w:div w:id="19816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ro/ro/guvernul/cabinetul-de-ministri/ministrul-afacerilor-externe15749513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v.ro/ro/guvernul/cabinetul-de-ministri/ministrul-justitiei1575382422" TargetMode="External"/><Relationship Id="rId4" Type="http://schemas.openxmlformats.org/officeDocument/2006/relationships/settings" Target="settings.xml"/><Relationship Id="rId9" Type="http://schemas.openxmlformats.org/officeDocument/2006/relationships/hyperlink" Target="https://gov.ro/ro/guvernul/cabinetul-de-ministri/ministrul-economiei-energiei-si-mediului-de-afac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0901-7787-4065-848E-278098A4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1804</Words>
  <Characters>10288</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Irimescu</dc:creator>
  <cp:lastModifiedBy>Leonard Craciun</cp:lastModifiedBy>
  <cp:revision>8</cp:revision>
  <cp:lastPrinted>2020-02-03T14:04:00Z</cp:lastPrinted>
  <dcterms:created xsi:type="dcterms:W3CDTF">2020-01-27T06:42:00Z</dcterms:created>
  <dcterms:modified xsi:type="dcterms:W3CDTF">2020-02-03T14:13:00Z</dcterms:modified>
</cp:coreProperties>
</file>