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92BA" w14:textId="77777777" w:rsidR="007E1EEB" w:rsidRPr="00C95C0A" w:rsidRDefault="007E1EEB" w:rsidP="007E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  <w:r w:rsidRPr="00C95C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NOTĂ DE FUNDAMENTARE</w:t>
      </w:r>
    </w:p>
    <w:p w14:paraId="52CAD923" w14:textId="77777777" w:rsidR="007E1EEB" w:rsidRPr="00C95C0A" w:rsidRDefault="007E1EEB" w:rsidP="007E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W w:w="10678" w:type="dxa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826"/>
        <w:gridCol w:w="729"/>
        <w:gridCol w:w="6358"/>
      </w:tblGrid>
      <w:tr w:rsidR="007E1EEB" w:rsidRPr="00C95C0A" w14:paraId="14CAEF75" w14:textId="77777777" w:rsidTr="00C757BE">
        <w:trPr>
          <w:trHeight w:val="207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D5FB2" w14:textId="77777777" w:rsidR="000C6036" w:rsidRDefault="000C6036" w:rsidP="00C75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09B6738" w14:textId="04D3854C" w:rsidR="000C6036" w:rsidRDefault="007E1EEB" w:rsidP="00C75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Secţiunea 1: </w:t>
            </w:r>
          </w:p>
          <w:p w14:paraId="4AF8FF50" w14:textId="441CD16F" w:rsidR="007E1EEB" w:rsidRPr="00C95C0A" w:rsidRDefault="007E1EEB" w:rsidP="00C75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Titlul proiectului de act normativ</w:t>
            </w:r>
          </w:p>
          <w:p w14:paraId="4D67739B" w14:textId="77777777" w:rsidR="007E1EEB" w:rsidRPr="00C95C0A" w:rsidRDefault="007E1EEB" w:rsidP="00C757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7366B8D0" w14:textId="77777777" w:rsidTr="00C757BE">
        <w:trPr>
          <w:trHeight w:val="609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10F6E" w14:textId="77777777" w:rsidR="007E1EEB" w:rsidRPr="00C95C0A" w:rsidRDefault="007E1EEB" w:rsidP="00C757BE">
            <w:pPr>
              <w:tabs>
                <w:tab w:val="left" w:pos="2895"/>
              </w:tabs>
              <w:spacing w:after="0" w:line="240" w:lineRule="auto"/>
              <w:ind w:left="305" w:right="15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68C9C414" w14:textId="77777777" w:rsidR="007E1EEB" w:rsidRPr="00C95C0A" w:rsidRDefault="007E1EEB" w:rsidP="007E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ORDONANŢĂ</w:t>
            </w:r>
          </w:p>
          <w:p w14:paraId="1F741A4B" w14:textId="77777777" w:rsidR="007E1EEB" w:rsidRPr="00C95C0A" w:rsidRDefault="007E1EEB" w:rsidP="007E1EE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privind </w:t>
            </w:r>
            <w:r w:rsidRPr="00C95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 w:eastAsia="ro-RO"/>
              </w:rPr>
              <w:t xml:space="preserve">utilizarea </w:t>
            </w:r>
            <w:r w:rsidRPr="00C95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Fondului de ameliorare a fondului funciar cu destinaţie silvică</w:t>
            </w:r>
            <w:r w:rsidRPr="00C95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 w:eastAsia="ro-RO"/>
              </w:rPr>
              <w:t xml:space="preserve"> pentru evaluarea de mediu a amenajamentelor silvice </w:t>
            </w:r>
            <w:r w:rsidRPr="00C9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care</w:t>
            </w:r>
            <w:r w:rsidRPr="00C95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 w:eastAsia="ro-RO"/>
              </w:rPr>
              <w:t xml:space="preserve"> se revizuiesc</w:t>
            </w:r>
            <w:r w:rsidRPr="00C9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și care se suprapun parțial sau total </w:t>
            </w:r>
          </w:p>
          <w:p w14:paraId="44217FB8" w14:textId="77777777" w:rsidR="007E1EEB" w:rsidRPr="00C95C0A" w:rsidRDefault="007E1EEB" w:rsidP="007E1EE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peste arii naturale protejate de interes comunitar</w:t>
            </w:r>
          </w:p>
          <w:p w14:paraId="542D92D4" w14:textId="77777777" w:rsidR="007E1EEB" w:rsidRPr="00C95C0A" w:rsidRDefault="007E1EEB" w:rsidP="00C757BE">
            <w:pPr>
              <w:tabs>
                <w:tab w:val="left" w:pos="426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3F13EA9C" w14:textId="77777777" w:rsidTr="00C757BE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40951" w14:textId="77777777" w:rsidR="00256729" w:rsidRDefault="00256729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3B28E955" w14:textId="524C28BF" w:rsidR="000C6036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Secţiunea a 2-a: </w:t>
            </w:r>
          </w:p>
          <w:p w14:paraId="3CB0E0F7" w14:textId="77777777" w:rsidR="007E1EEB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Motivul emiterii actului normativ</w:t>
            </w:r>
          </w:p>
          <w:p w14:paraId="46CCEFAF" w14:textId="2B8C33ED" w:rsidR="000C6036" w:rsidRPr="00C95C0A" w:rsidRDefault="000C6036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07B17554" w14:textId="77777777" w:rsidTr="00C757BE">
        <w:trPr>
          <w:trHeight w:val="321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C3AEF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DE1FB" w14:textId="6D698001" w:rsidR="007E1EEB" w:rsidRPr="00C95C0A" w:rsidRDefault="007E1EEB" w:rsidP="00C95C0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data de </w:t>
            </w:r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10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noiembrie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2021 a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fost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C95C0A" w:rsidRPr="00C95C0A">
              <w:rPr>
                <w:rStyle w:val="spubtt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ublicat</w:t>
            </w:r>
            <w:proofErr w:type="spellEnd"/>
            <w:r w:rsidR="00C95C0A" w:rsidRPr="00C95C0A">
              <w:rPr>
                <w:rStyle w:val="spubtt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tt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="00C95C0A" w:rsidRPr="00C95C0A">
              <w:rPr>
                <w:rStyle w:val="spubtt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Monitorul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Oficial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României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Partea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I, nr.77</w:t>
            </w:r>
            <w:r w:rsidR="00F078D4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Ordinul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ministrului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mediului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apelor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pădurilor</w:t>
            </w:r>
            <w:proofErr w:type="spellEnd"/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A62A1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nr.</w:t>
            </w:r>
            <w:r w:rsid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1947/2021</w:t>
            </w:r>
            <w:r w:rsidR="00C95C0A" w:rsidRPr="00C95C0A">
              <w:rPr>
                <w:rStyle w:val="spubbd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5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privind modalitatea de revizuire a amenajamentelor silvice care se suprapun parțial sau total peste arii naturale protejate de interes comunitar</w:t>
            </w:r>
            <w:r w:rsidR="00C95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  <w:p w14:paraId="37A3171A" w14:textId="6615B4A7" w:rsidR="000D0047" w:rsidRPr="000D0047" w:rsidRDefault="000D0047" w:rsidP="00FA62A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0D0047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Ordinul</w:t>
            </w:r>
            <w:r w:rsidR="00FA62A1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A62A1" w:rsidRPr="00FA62A1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ministrului mediului a</w:t>
            </w:r>
            <w:r w:rsidR="00FA62A1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pelor și pădurilor nr.1947/2021</w:t>
            </w:r>
            <w:r w:rsidRPr="000D0047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 răspunde solicitărilor din acțiunea declanșată în luna februarie 2020 de Comisia Europeană împotriva României, care a constatat</w:t>
            </w:r>
            <w:r w:rsidRPr="000D00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00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nerespectarea</w:t>
            </w:r>
            <w:proofErr w:type="spellEnd"/>
            <w:r w:rsidRPr="000D00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r w:rsidRPr="000D004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către autoritățile române, în contextul tăierilor ilegale de arbori, a dispozițiilor Directivei 92/43/CEE a Consiliului din 21 mai 1992 privind conservarea habitatelor naturale și a speciilor de faună și floră sălbatică, ale Directivei 2001/42/CEE privind evaluarea efectelor anumitor planuri și programe asupra mediului, precum și ale Directivei 2003/4/CE a Parlamentului European și a Consiliului din 28 ianuarie 2003 privind accesul publicului la informațiile despre mediu și de abrogare a Direct</w:t>
            </w:r>
            <w:r w:rsidR="00FA62A1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ivei 90/313/CEE a Consiliului (</w:t>
            </w:r>
            <w:r w:rsidRPr="000D004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cauza 2020/2033, </w:t>
            </w:r>
            <w:bookmarkStart w:id="1" w:name="_Hlk86155086"/>
            <w:r w:rsidRPr="000D004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aflată în ultima fază pre-contencioasă - aviz motivat</w:t>
            </w:r>
            <w:bookmarkEnd w:id="1"/>
            <w:r w:rsidRPr="000D004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).</w:t>
            </w:r>
          </w:p>
          <w:p w14:paraId="63D66F89" w14:textId="77777777" w:rsidR="00FA62A1" w:rsidRDefault="00FA62A1" w:rsidP="00FA62A1">
            <w:pPr>
              <w:tabs>
                <w:tab w:val="left" w:pos="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</w:pPr>
            <w:r w:rsidRPr="000D0047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Ordinul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A62A1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ministrului mediului 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pelor și pădurilor nr.1947/2021</w:t>
            </w:r>
            <w:r w:rsidR="00C7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 </w:t>
            </w:r>
            <w:r w:rsidR="000D0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reglementează procedura de </w:t>
            </w:r>
            <w:r w:rsidR="000D0047" w:rsidRPr="000D0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revizuir</w:t>
            </w:r>
            <w:r w:rsidR="000D0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e a</w:t>
            </w:r>
            <w:r w:rsidR="000D0047" w:rsidRPr="000D0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 amenajamentelor silvice, </w:t>
            </w:r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care se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suprapun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parțial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total, cu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arii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naturale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protejate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interes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comunitar</w:t>
            </w:r>
            <w:proofErr w:type="spellEnd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D0047" w:rsidRPr="000D0047">
              <w:rPr>
                <w:rStyle w:val="tp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aflate</w:t>
            </w:r>
            <w:proofErr w:type="spellEnd"/>
            <w:r w:rsidR="000D0047" w:rsidRPr="000D0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 în vigoare la data publicării sale, și pentru care: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 </w:t>
            </w:r>
          </w:p>
          <w:p w14:paraId="2AAF29CA" w14:textId="0F278E3F" w:rsidR="000D0047" w:rsidRPr="00FA62A1" w:rsidRDefault="00FA62A1" w:rsidP="00FA62A1">
            <w:pPr>
              <w:tabs>
                <w:tab w:val="left" w:pos="517"/>
              </w:tabs>
              <w:spacing w:after="0" w:line="240" w:lineRule="auto"/>
              <w:ind w:left="659" w:hanging="659"/>
              <w:jc w:val="both"/>
              <w:rPr>
                <w:rStyle w:val="al1"/>
                <w:rFonts w:eastAsia="MS Mincho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 w:eastAsia="en-GB"/>
              </w:rPr>
              <w:t xml:space="preserve">     </w:t>
            </w:r>
            <w:r w:rsidRPr="00FA62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 w:eastAsia="en-GB"/>
              </w:rPr>
              <w:t xml:space="preserve">„a) </w:t>
            </w:r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nu s-a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elaborat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studiul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adecvată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și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raportul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mediu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în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cadrul</w:t>
            </w:r>
            <w:proofErr w:type="spellEnd"/>
            <w:r w:rsidR="00F078D4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procedurii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mediu</w:t>
            </w:r>
            <w:proofErr w:type="spellEnd"/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,</w:t>
            </w:r>
            <w:r w:rsidR="000D0047" w:rsidRPr="00FA62A1">
              <w:rPr>
                <w:rStyle w:val="al1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CE30174" w14:textId="0602791A" w:rsidR="000D0047" w:rsidRPr="00FA62A1" w:rsidRDefault="000D0047" w:rsidP="00FA62A1">
            <w:pPr>
              <w:pStyle w:val="ListParagraph"/>
              <w:numPr>
                <w:ilvl w:val="0"/>
                <w:numId w:val="6"/>
              </w:numPr>
              <w:tabs>
                <w:tab w:val="left" w:pos="517"/>
              </w:tabs>
              <w:spacing w:line="240" w:lineRule="auto"/>
              <w:rPr>
                <w:rStyle w:val="al1"/>
                <w:rFonts w:eastAsia="MS Mincho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procedura de evaluare de mediu s-a finalizat cu decizia etapei de încadrare, cu elaborarea studiului de evaluare adecvată, dar fără elaborarea raportului de mediu</w:t>
            </w:r>
            <w:r w:rsidR="00C750B1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.</w:t>
            </w:r>
          </w:p>
          <w:p w14:paraId="4BBB752A" w14:textId="3BD96D75" w:rsidR="000D0047" w:rsidRPr="00FA62A1" w:rsidRDefault="000D0047" w:rsidP="00FA62A1">
            <w:pPr>
              <w:tabs>
                <w:tab w:val="left" w:pos="517"/>
              </w:tabs>
              <w:spacing w:after="0" w:line="240" w:lineRule="auto"/>
              <w:jc w:val="both"/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În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procedura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mediu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s-a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finalizat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decizia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etapei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încadrare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elaborarea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studiului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adecvată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raportului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mediu</w:t>
            </w:r>
            <w:proofErr w:type="spellEnd"/>
            <w:r w:rsidRPr="00FA62A1">
              <w:rPr>
                <w:rStyle w:val="tpa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14:paraId="718AA4AC" w14:textId="68529A49" w:rsidR="000D0047" w:rsidRPr="00FA62A1" w:rsidRDefault="00FA62A1" w:rsidP="00F078D4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spacing w:line="240" w:lineRule="auto"/>
              <w:ind w:left="662"/>
              <w:rPr>
                <w:rStyle w:val="tpa1"/>
                <w:i/>
                <w:color w:val="000000" w:themeColor="text1"/>
                <w:sz w:val="24"/>
                <w:szCs w:val="24"/>
              </w:rPr>
            </w:pPr>
            <w:r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titularii amenajamentelor silvice menționate mai sus și a căror valabilitate expiră înainte de 31.12.2025, au obligația de a notifica autoritatea competentă pentru protecția mediului pentru revizuire în termen de 3 luni de la intrarea în vigoare a prezentului ordin; </w:t>
            </w:r>
          </w:p>
          <w:p w14:paraId="6EDC4135" w14:textId="69D9BA84" w:rsidR="000D0047" w:rsidRDefault="00FA62A1" w:rsidP="00FA62A1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spacing w:line="240" w:lineRule="auto"/>
              <w:ind w:left="659" w:hanging="284"/>
              <w:rPr>
                <w:rStyle w:val="tpa1"/>
                <w:color w:val="000000" w:themeColor="text1"/>
                <w:sz w:val="24"/>
                <w:szCs w:val="24"/>
              </w:rPr>
            </w:pPr>
            <w:r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D0047" w:rsidRPr="00FA62A1">
              <w:rPr>
                <w:rStyle w:val="tpa1"/>
                <w:i/>
                <w:color w:val="000000" w:themeColor="text1"/>
                <w:sz w:val="24"/>
                <w:szCs w:val="24"/>
              </w:rPr>
              <w:t>titularii amenajamentelor silvice menționate mai sus și a căror valabilitate expiră în perioada 01.01.2026 - 31.12.2030, au obligația de a notifica autoritatea competentă pentru protecția mediului pentru revizuire în termen de 9 luni de la intrarea în vigoare a prezentului ordin.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”. </w:t>
            </w:r>
          </w:p>
          <w:p w14:paraId="304062C8" w14:textId="281DC13B" w:rsidR="00F078D4" w:rsidRDefault="00221FCB" w:rsidP="00FA62A1">
            <w:pPr>
              <w:pStyle w:val="ListParagraph"/>
              <w:tabs>
                <w:tab w:val="left" w:pos="517"/>
              </w:tabs>
              <w:spacing w:line="240" w:lineRule="auto"/>
              <w:ind w:left="0" w:firstLine="0"/>
              <w:rPr>
                <w:rStyle w:val="tpa1"/>
                <w:color w:val="000000" w:themeColor="text1"/>
                <w:sz w:val="24"/>
                <w:szCs w:val="24"/>
              </w:rPr>
            </w:pPr>
            <w:r>
              <w:rPr>
                <w:rStyle w:val="tpa1"/>
                <w:color w:val="000000" w:themeColor="text1"/>
                <w:sz w:val="24"/>
                <w:szCs w:val="24"/>
              </w:rPr>
              <w:lastRenderedPageBreak/>
              <w:t>Costurile elaborării amenajamentelor silvice</w:t>
            </w:r>
            <w:r w:rsidR="00A540D9">
              <w:rPr>
                <w:rStyle w:val="tpa1"/>
                <w:color w:val="000000" w:themeColor="text1"/>
                <w:sz w:val="24"/>
                <w:szCs w:val="24"/>
              </w:rPr>
              <w:t xml:space="preserve"> aprobate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, inclusiv evaluarea de mediu, pentru amenajamentele silvice care </w:t>
            </w:r>
            <w:r w:rsidR="00A540D9">
              <w:rPr>
                <w:rStyle w:val="tpa1"/>
                <w:color w:val="000000" w:themeColor="text1"/>
                <w:sz w:val="24"/>
                <w:szCs w:val="24"/>
              </w:rPr>
              <w:t>intră sub incidența Ordinului 1947/2021</w:t>
            </w:r>
            <w:r w:rsidR="0016674B">
              <w:rPr>
                <w:rStyle w:val="tpa1"/>
                <w:color w:val="000000" w:themeColor="text1"/>
                <w:sz w:val="24"/>
                <w:szCs w:val="24"/>
              </w:rPr>
              <w:t>,</w:t>
            </w:r>
            <w:r w:rsidR="00A540D9">
              <w:rPr>
                <w:rStyle w:val="tpa1"/>
                <w:color w:val="000000" w:themeColor="text1"/>
                <w:sz w:val="24"/>
                <w:szCs w:val="24"/>
              </w:rPr>
              <w:t xml:space="preserve"> au fost suportate de către proprietari sau administratori, după caz. </w:t>
            </w:r>
          </w:p>
          <w:p w14:paraId="1CABD906" w14:textId="45F11E6E" w:rsidR="00DE5F43" w:rsidRPr="00C95C0A" w:rsidRDefault="00A540D9" w:rsidP="0028202C">
            <w:pPr>
              <w:pStyle w:val="ListParagraph"/>
              <w:tabs>
                <w:tab w:val="left" w:pos="517"/>
              </w:tabs>
              <w:spacing w:line="240" w:lineRule="auto"/>
              <w:ind w:left="0" w:firstLine="0"/>
            </w:pP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O nouă reevaluare de mediu asupra </w:t>
            </w:r>
            <w:r w:rsidR="0016674B">
              <w:rPr>
                <w:rStyle w:val="tpa1"/>
                <w:color w:val="000000" w:themeColor="text1"/>
                <w:sz w:val="24"/>
                <w:szCs w:val="24"/>
              </w:rPr>
              <w:t>acestor amenajamente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 silvice care au parcurs deja o evaluare de mediu, realizată în condițiile Ordinului </w:t>
            </w:r>
            <w:r w:rsidR="00F078D4">
              <w:rPr>
                <w:rStyle w:val="tpa1"/>
                <w:color w:val="000000" w:themeColor="text1"/>
                <w:sz w:val="24"/>
                <w:szCs w:val="24"/>
              </w:rPr>
              <w:t>ministrului mediului, apelor și pădurilor nr.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>1947/2021</w:t>
            </w:r>
            <w:r w:rsidR="00610CB9">
              <w:rPr>
                <w:rStyle w:val="tpa1"/>
                <w:color w:val="000000" w:themeColor="text1"/>
                <w:sz w:val="24"/>
                <w:szCs w:val="24"/>
              </w:rPr>
              <w:t>,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 </w:t>
            </w:r>
            <w:r w:rsidR="0092696C">
              <w:rPr>
                <w:rStyle w:val="tpa1"/>
                <w:color w:val="000000" w:themeColor="text1"/>
                <w:sz w:val="24"/>
                <w:szCs w:val="24"/>
              </w:rPr>
              <w:t xml:space="preserve">determină o 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>crește</w:t>
            </w:r>
            <w:r w:rsidR="0092696C">
              <w:rPr>
                <w:rStyle w:val="tpa1"/>
                <w:color w:val="000000" w:themeColor="text1"/>
                <w:sz w:val="24"/>
                <w:szCs w:val="24"/>
              </w:rPr>
              <w:t>re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 semnificativ</w:t>
            </w:r>
            <w:r w:rsidR="0092696C">
              <w:rPr>
                <w:rStyle w:val="tpa1"/>
                <w:color w:val="000000" w:themeColor="text1"/>
                <w:sz w:val="24"/>
                <w:szCs w:val="24"/>
              </w:rPr>
              <w:t>ă a</w:t>
            </w:r>
            <w:r>
              <w:rPr>
                <w:rStyle w:val="tpa1"/>
                <w:color w:val="000000" w:themeColor="text1"/>
                <w:sz w:val="24"/>
                <w:szCs w:val="24"/>
              </w:rPr>
              <w:t xml:space="preserve"> costuril</w:t>
            </w:r>
            <w:r w:rsidR="0092696C">
              <w:rPr>
                <w:rStyle w:val="tpa1"/>
                <w:color w:val="000000" w:themeColor="text1"/>
                <w:sz w:val="24"/>
                <w:szCs w:val="24"/>
              </w:rPr>
              <w:t>or, acestea nemaiputând să fie suportate de către proprietari</w:t>
            </w:r>
            <w:r w:rsidR="00610CB9">
              <w:rPr>
                <w:rStyle w:val="tpa1"/>
                <w:color w:val="000000" w:themeColor="text1"/>
                <w:sz w:val="24"/>
                <w:szCs w:val="24"/>
              </w:rPr>
              <w:t>i</w:t>
            </w:r>
            <w:r w:rsidR="0092696C">
              <w:rPr>
                <w:rStyle w:val="tpa1"/>
                <w:color w:val="000000" w:themeColor="text1"/>
                <w:sz w:val="24"/>
                <w:szCs w:val="24"/>
              </w:rPr>
              <w:t xml:space="preserve"> /administratori</w:t>
            </w:r>
            <w:r w:rsidR="00610CB9">
              <w:rPr>
                <w:rStyle w:val="tpa1"/>
                <w:color w:val="000000" w:themeColor="text1"/>
                <w:sz w:val="24"/>
                <w:szCs w:val="24"/>
              </w:rPr>
              <w:t>i</w:t>
            </w:r>
            <w:r w:rsidR="0092696C">
              <w:rPr>
                <w:rStyle w:val="tpa1"/>
                <w:color w:val="000000" w:themeColor="text1"/>
                <w:sz w:val="24"/>
                <w:szCs w:val="24"/>
              </w:rPr>
              <w:t xml:space="preserve"> de fond forestier.</w:t>
            </w:r>
          </w:p>
        </w:tc>
      </w:tr>
      <w:tr w:rsidR="007E1EEB" w:rsidRPr="00C95C0A" w14:paraId="551786ED" w14:textId="77777777" w:rsidTr="00C757BE">
        <w:trPr>
          <w:trHeight w:val="321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EC932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1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cazul proiectelor de acte normative care transpun legislaţie comunitară sau creează cadrul pentru aplicarea directă a acesteia 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9470D" w14:textId="5253A67D" w:rsidR="007E1EEB" w:rsidRPr="00C95C0A" w:rsidRDefault="007E1EEB" w:rsidP="00F90EA9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7E1EEB" w:rsidRPr="00C95C0A" w14:paraId="26882F74" w14:textId="77777777" w:rsidTr="00C757BE">
        <w:trPr>
          <w:trHeight w:val="744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01DB3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17703" w14:textId="77777777" w:rsidR="00F90EA9" w:rsidRPr="0028202C" w:rsidRDefault="00F90EA9" w:rsidP="0028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8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Prin prezenta ordonanță se propune ca aceste costuri de reevaluare de mediu să fie suportate  din fondul de ameliorare a fondului funciar cu destinație silvică.</w:t>
            </w:r>
          </w:p>
          <w:p w14:paraId="439FABD2" w14:textId="77777777" w:rsidR="00F90EA9" w:rsidRPr="0028202C" w:rsidRDefault="00F90EA9" w:rsidP="0028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8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Ordinul ministrului mediului, apelor și pădurilor nr.1947/2021 a făcut obiectul contestării de către Asociația Administratorilor de Păduri din România  la Curtea de Apel Alba Iulia, Secția de Contencios Administrativ și Fiscal.</w:t>
            </w:r>
          </w:p>
          <w:p w14:paraId="46257862" w14:textId="79244A51" w:rsidR="007E1EEB" w:rsidRPr="0028202C" w:rsidRDefault="00F90EA9" w:rsidP="0028202C">
            <w:pPr>
              <w:pStyle w:val="NoSpacing"/>
              <w:jc w:val="both"/>
              <w:rPr>
                <w:rFonts w:eastAsia="Times New Roman"/>
                <w:color w:val="000000" w:themeColor="text1"/>
              </w:rPr>
            </w:pPr>
            <w:r w:rsidRPr="0028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Soluția Curții Curtea de Apel Alba Iulia, Secția de Contencios Administrativ și Fiscal, pronunțată în data de 16.12.2021 stabilește că: “în temeiul art. 14 din Legea nr.554/2004, suspendă executarea Ordinului nr. 1947 din 26.10.2021 al Ministerului Mediului, Apelor și Pădurilor, în vigoare de la 10.11.2021, până la pronunțarea instanței de fond. Executorie de drep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</w:t>
            </w:r>
            <w:r w:rsidRPr="0028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8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drept de recurs în 5 zile de la comunicare.”</w:t>
            </w:r>
          </w:p>
        </w:tc>
      </w:tr>
      <w:tr w:rsidR="007E1EEB" w:rsidRPr="00C95C0A" w14:paraId="35D7C0BA" w14:textId="77777777" w:rsidTr="0028202C">
        <w:trPr>
          <w:trHeight w:val="445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1458A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3. Alte informaţii 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59526" w14:textId="7C703540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</w:t>
            </w:r>
            <w:r w:rsidR="00C75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feră la acest subiect.</w:t>
            </w:r>
          </w:p>
        </w:tc>
      </w:tr>
      <w:tr w:rsidR="007E1EEB" w:rsidRPr="00C95C0A" w14:paraId="2B601B4C" w14:textId="77777777" w:rsidTr="00C757BE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964F5" w14:textId="77777777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446F3065" w14:textId="77777777" w:rsidR="000C6036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Secţiunea a 3-a: </w:t>
            </w:r>
          </w:p>
          <w:p w14:paraId="5072C61F" w14:textId="333CF426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Impactul socioeconomic al proiectului de act normativ</w:t>
            </w:r>
          </w:p>
          <w:p w14:paraId="5E27792A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45F72203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400B0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B1DC1" w14:textId="693F91DF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26D14956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6AFFA2E9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0A8A7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 xml:space="preserve">1 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Impactul asupra mediului concurenţial şi domeniul ajutoarelor de stat 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2E729" w14:textId="46CC18F7" w:rsidR="009744FA" w:rsidRPr="00C95C0A" w:rsidRDefault="009744FA" w:rsidP="0097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4F5AD73A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33D98DD0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9B27D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14A57" w14:textId="0CBD4DF8" w:rsidR="009744FA" w:rsidRPr="00C95C0A" w:rsidRDefault="009744FA" w:rsidP="0097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4DEDB8DB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1EEB" w:rsidRPr="00C95C0A" w14:paraId="41DB8F43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23FC0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1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Impactul asupra sarcinilor administrative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484C4" w14:textId="0A7760FE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279608C7" w14:textId="77777777" w:rsidR="007E1EEB" w:rsidRPr="00C95C0A" w:rsidRDefault="007E1EEB" w:rsidP="00C757B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539B3D78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3D66F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Garamond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2</w:t>
            </w:r>
            <w:r w:rsidRPr="00C95C0A">
              <w:rPr>
                <w:rFonts w:ascii="Times New Roman" w:eastAsia="Garamond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ro-RO"/>
              </w:rPr>
              <w:t xml:space="preserve">2 </w:t>
            </w:r>
            <w:r w:rsidRPr="00C95C0A">
              <w:rPr>
                <w:rFonts w:ascii="Times New Roman" w:eastAsia="Garamond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.Impactul asupra întreprinderilor mici şi mijlocii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612AD" w14:textId="7D43E425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4D75317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77AEEA31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21391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55587" w14:textId="309460FE" w:rsidR="007E1EEB" w:rsidRPr="00C95C0A" w:rsidRDefault="007E1EEB" w:rsidP="0097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 xml:space="preserve">Proiectul de act normativ va conduce la sprijinirea </w:t>
            </w:r>
            <w:r w:rsidR="009744F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>proprietarilor pentru care este necesară reevaluarea de mediu asupra amenajamentelor silvice aprobate</w:t>
            </w:r>
          </w:p>
        </w:tc>
      </w:tr>
      <w:tr w:rsidR="007E1EEB" w:rsidRPr="00C95C0A" w14:paraId="1B7B7920" w14:textId="77777777" w:rsidTr="0028202C">
        <w:trPr>
          <w:trHeight w:val="585"/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B44F4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0EE87" w14:textId="5B01C853" w:rsidR="007E1EEB" w:rsidRPr="00C95C0A" w:rsidRDefault="009744FA" w:rsidP="0097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Reevaluarea de mediu va reduce impactul aplicării prevederilor amenajamentelor silvice asupra mediului. </w:t>
            </w:r>
          </w:p>
        </w:tc>
      </w:tr>
      <w:tr w:rsidR="007E1EEB" w:rsidRPr="00C95C0A" w14:paraId="1F6A3CC2" w14:textId="77777777" w:rsidTr="00C757BE">
        <w:trPr>
          <w:tblCellSpacing w:w="0" w:type="dxa"/>
        </w:trPr>
        <w:tc>
          <w:tcPr>
            <w:tcW w:w="3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2906C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5.Alte </w:t>
            </w:r>
            <w:proofErr w:type="spellStart"/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8B032" w14:textId="6E6F0F5C" w:rsidR="007E1EEB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au fost identificate</w:t>
            </w:r>
            <w:r w:rsidR="00CE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14:paraId="282C320D" w14:textId="77777777" w:rsidR="00F44EE5" w:rsidRDefault="00F44EE5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66B741F5" w14:textId="6E866F4E" w:rsidR="00F44EE5" w:rsidRPr="00C95C0A" w:rsidRDefault="00F44EE5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3E333808" w14:textId="77777777" w:rsidTr="00C757BE">
        <w:trPr>
          <w:trHeight w:val="645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348" w:type="dxa"/>
              <w:tblInd w:w="172" w:type="dxa"/>
              <w:tblLayout w:type="fixed"/>
              <w:tblLook w:val="0160" w:firstRow="1" w:lastRow="1" w:firstColumn="0" w:lastColumn="1" w:noHBand="0" w:noVBand="0"/>
            </w:tblPr>
            <w:tblGrid>
              <w:gridCol w:w="4251"/>
              <w:gridCol w:w="1134"/>
              <w:gridCol w:w="994"/>
              <w:gridCol w:w="851"/>
              <w:gridCol w:w="992"/>
              <w:gridCol w:w="992"/>
              <w:gridCol w:w="18"/>
              <w:gridCol w:w="1116"/>
            </w:tblGrid>
            <w:tr w:rsidR="007E1EEB" w:rsidRPr="00C95C0A" w14:paraId="606B392B" w14:textId="77777777" w:rsidTr="00C757BE">
              <w:trPr>
                <w:trHeight w:val="638"/>
              </w:trPr>
              <w:tc>
                <w:tcPr>
                  <w:tcW w:w="1034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A98F68" w14:textId="77777777" w:rsidR="007E1EEB" w:rsidRPr="00C95C0A" w:rsidRDefault="007E1EEB" w:rsidP="00C757BE">
                  <w:pPr>
                    <w:tabs>
                      <w:tab w:val="left" w:pos="38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proofErr w:type="spellStart"/>
                  <w:r w:rsidRPr="00C95C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lastRenderedPageBreak/>
                    <w:t>Secţiunea</w:t>
                  </w:r>
                  <w:proofErr w:type="spellEnd"/>
                  <w:r w:rsidRPr="00C95C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a 4-a Impactul financiar asupra bugetului general consolidat, atât pe termen scurt, pentru anul curent, cât şi pe termen lung (pe 5 ani)         </w:t>
                  </w:r>
                </w:p>
                <w:p w14:paraId="08EF53B7" w14:textId="77777777" w:rsidR="007E1EEB" w:rsidRPr="00C95C0A" w:rsidRDefault="007E1EEB" w:rsidP="00C757BE">
                  <w:pPr>
                    <w:tabs>
                      <w:tab w:val="left" w:pos="38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                     </w:t>
                  </w:r>
                </w:p>
              </w:tc>
            </w:tr>
            <w:tr w:rsidR="007E1EEB" w:rsidRPr="00C95C0A" w14:paraId="34A1085B" w14:textId="77777777" w:rsidTr="00C757BE">
              <w:trPr>
                <w:trHeight w:val="162"/>
              </w:trPr>
              <w:tc>
                <w:tcPr>
                  <w:tcW w:w="1034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D0E7A" w14:textId="77777777" w:rsidR="007E1EEB" w:rsidRPr="00C95C0A" w:rsidRDefault="007E1EEB" w:rsidP="00C757BE">
                  <w:pPr>
                    <w:spacing w:after="0" w:line="240" w:lineRule="auto"/>
                    <w:ind w:left="720" w:hanging="720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- mii lei -</w:t>
                  </w:r>
                </w:p>
              </w:tc>
            </w:tr>
            <w:tr w:rsidR="007E1EEB" w:rsidRPr="00C95C0A" w14:paraId="70754C9A" w14:textId="77777777" w:rsidTr="00C757BE">
              <w:trPr>
                <w:trHeight w:val="270"/>
              </w:trPr>
              <w:tc>
                <w:tcPr>
                  <w:tcW w:w="4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A6114" w14:textId="77777777" w:rsidR="007E1EEB" w:rsidRPr="00C95C0A" w:rsidRDefault="007E1EEB" w:rsidP="00C757BE">
                  <w:pPr>
                    <w:tabs>
                      <w:tab w:val="left" w:pos="6705"/>
                    </w:tabs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  <w:p w14:paraId="0EFB03D3" w14:textId="77777777" w:rsidR="007E1EEB" w:rsidRPr="00C95C0A" w:rsidRDefault="007E1EEB" w:rsidP="00C757BE">
                  <w:pPr>
                    <w:tabs>
                      <w:tab w:val="left" w:pos="6705"/>
                    </w:tabs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Indicatori</w:t>
                  </w:r>
                </w:p>
                <w:p w14:paraId="4ECE7B09" w14:textId="77777777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52E9C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  <w:p w14:paraId="21DE50A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Anul</w:t>
                  </w:r>
                </w:p>
                <w:p w14:paraId="68C8F1B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curent</w:t>
                  </w:r>
                </w:p>
              </w:tc>
              <w:tc>
                <w:tcPr>
                  <w:tcW w:w="38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D7AD3" w14:textId="77777777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Următorii 4 ani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DFB32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Media pe</w:t>
                  </w:r>
                </w:p>
                <w:p w14:paraId="65EA8175" w14:textId="77777777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 ani</w:t>
                  </w:r>
                </w:p>
              </w:tc>
            </w:tr>
            <w:tr w:rsidR="007E1EEB" w:rsidRPr="00C95C0A" w14:paraId="7FEFFFCE" w14:textId="77777777" w:rsidTr="00C757BE">
              <w:trPr>
                <w:trHeight w:val="540"/>
              </w:trPr>
              <w:tc>
                <w:tcPr>
                  <w:tcW w:w="42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8ADC0" w14:textId="77777777" w:rsidR="007E1EEB" w:rsidRPr="00C95C0A" w:rsidRDefault="007E1EEB" w:rsidP="00C757BE">
                  <w:pPr>
                    <w:tabs>
                      <w:tab w:val="left" w:pos="6705"/>
                    </w:tabs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E77B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28C14" w14:textId="46443978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202</w:t>
                  </w:r>
                  <w:r w:rsidR="00CE6A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4BFE4" w14:textId="0B15CFB6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</w:t>
                  </w:r>
                  <w:r w:rsidR="00CE6A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28BDC" w14:textId="273B2D43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202</w:t>
                  </w:r>
                  <w:r w:rsidR="00CE6A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C3E7A" w14:textId="66E95688" w:rsidR="007E1EEB" w:rsidRPr="00C95C0A" w:rsidRDefault="007E1EEB" w:rsidP="00C757BE">
                  <w:pPr>
                    <w:tabs>
                      <w:tab w:val="left" w:pos="64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202</w:t>
                  </w:r>
                  <w:r w:rsidR="00CE6A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5BA1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6E83FA38" w14:textId="77777777" w:rsidTr="00C757BE">
              <w:trPr>
                <w:trHeight w:val="241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575AD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040CB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28882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BB820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34F63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93F70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3878D" w14:textId="77777777" w:rsidR="007E1EEB" w:rsidRPr="00C95C0A" w:rsidRDefault="007E1EEB" w:rsidP="00C757BE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7</w:t>
                  </w:r>
                </w:p>
              </w:tc>
            </w:tr>
            <w:tr w:rsidR="007E1EEB" w:rsidRPr="00C95C0A" w14:paraId="566A406E" w14:textId="77777777" w:rsidTr="00C757BE">
              <w:trPr>
                <w:trHeight w:val="342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339EB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1. Modificări ale veniturilor bugetare, plus/minus, din care: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1C4B6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459E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8C576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C069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26076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6E2DE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0E7DAD89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69773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a) buget de stat, din acesta: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CE84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489D6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C351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C982F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6EFB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7BCA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406811FD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72A34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(i)  impozit pe profit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AC0A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E274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6A43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7AE3F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548AE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21FB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1346BF73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86F491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(ii) impozit pe venit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160D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C6C2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CC99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D6D2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1923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2229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21360D0B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B4D29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b)   bugete locale: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BE21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CFE5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65115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167A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3118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4D616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6BDD271C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F2CFF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(i)  impozit pe profit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E0FD9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2D02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907BF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AE31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76FE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CDCB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753D3172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323F1B" w14:textId="77777777" w:rsidR="007E1EEB" w:rsidRPr="00C95C0A" w:rsidRDefault="007E1EEB" w:rsidP="00C757BE">
                  <w:pPr>
                    <w:spacing w:after="0" w:line="240" w:lineRule="auto"/>
                    <w:ind w:left="25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bugetul asigurărilor sociale de stat: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BB1E0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3814B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3E672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C9933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E280B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232B34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4CA5EEDF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ECE29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(i) contribuţii de asigurări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7DC87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3F484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8651C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BD86F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AFE6D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7F8F37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2BB3CC36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14C9BC34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2. Modificări ale cheltuielilor bugetare, plus/minus din care:</w:t>
                  </w:r>
                </w:p>
              </w:tc>
              <w:tc>
                <w:tcPr>
                  <w:tcW w:w="1134" w:type="dxa"/>
                </w:tcPr>
                <w:p w14:paraId="1A45CC8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02C4A613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4D23D582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72C2B55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2B2D425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118162B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415B32FF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2BADF807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a) buget de stat, din acesta</w:t>
                  </w:r>
                </w:p>
              </w:tc>
              <w:tc>
                <w:tcPr>
                  <w:tcW w:w="1134" w:type="dxa"/>
                </w:tcPr>
                <w:p w14:paraId="4C10F82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420D3202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0F444CE6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A46C2AF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7A79715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135BBC8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0DEBFCE6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62C038D3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(i) cheltuieli de personal</w:t>
                  </w:r>
                </w:p>
              </w:tc>
              <w:tc>
                <w:tcPr>
                  <w:tcW w:w="1134" w:type="dxa"/>
                </w:tcPr>
                <w:p w14:paraId="0350EED7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52E76F1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139CCB87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138B73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77D8684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44265732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72033D91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3151ADF7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(ii) bunuri şi servicii</w:t>
                  </w:r>
                </w:p>
              </w:tc>
              <w:tc>
                <w:tcPr>
                  <w:tcW w:w="1134" w:type="dxa"/>
                </w:tcPr>
                <w:p w14:paraId="258BAF3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7ACE1D62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504A2639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7A928A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F89879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1A23FF3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755E3937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015DDA4B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b) bugete locale</w:t>
                  </w:r>
                </w:p>
              </w:tc>
              <w:tc>
                <w:tcPr>
                  <w:tcW w:w="1134" w:type="dxa"/>
                </w:tcPr>
                <w:p w14:paraId="088C110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0076836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5D9BD26E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DE4BD83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B47155F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410B9BA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7B798405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3AC5E8FE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(i) cheltuieli de personal</w:t>
                  </w:r>
                </w:p>
              </w:tc>
              <w:tc>
                <w:tcPr>
                  <w:tcW w:w="1134" w:type="dxa"/>
                </w:tcPr>
                <w:p w14:paraId="55883569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6575CE8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738081D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401A717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6E73E79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6F8925B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155AB88A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7FCAB537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(ii) bunuri şi servicii</w:t>
                  </w:r>
                </w:p>
              </w:tc>
              <w:tc>
                <w:tcPr>
                  <w:tcW w:w="1134" w:type="dxa"/>
                </w:tcPr>
                <w:p w14:paraId="1E96F37F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2008140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70F3F4B3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9FF79C7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8EF9FC9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BD1A95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657365AB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54664D9D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c) bugetul asigurărilor sociale de stat</w:t>
                  </w:r>
                </w:p>
              </w:tc>
              <w:tc>
                <w:tcPr>
                  <w:tcW w:w="1134" w:type="dxa"/>
                </w:tcPr>
                <w:p w14:paraId="73BC64D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1D74652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1559E1C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437BA95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8FDA272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154DD1B9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04B546EC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17104B8F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(i) cheltuieli de personal</w:t>
                  </w:r>
                </w:p>
              </w:tc>
              <w:tc>
                <w:tcPr>
                  <w:tcW w:w="1134" w:type="dxa"/>
                </w:tcPr>
                <w:p w14:paraId="672F58C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1E6DD477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767C8A9B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2DE510D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5D81333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0D655D3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77C493C0" w14:textId="77777777" w:rsidTr="00C757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92"/>
              </w:trPr>
              <w:tc>
                <w:tcPr>
                  <w:tcW w:w="4251" w:type="dxa"/>
                </w:tcPr>
                <w:p w14:paraId="396E7399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(ii) bunuri şi servicii</w:t>
                  </w:r>
                </w:p>
              </w:tc>
              <w:tc>
                <w:tcPr>
                  <w:tcW w:w="1134" w:type="dxa"/>
                </w:tcPr>
                <w:p w14:paraId="5D558055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</w:tcPr>
                <w:p w14:paraId="34292F3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2B05583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7167D9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4DCDF8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2876FC94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63D32C80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532B9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3.  Impact financiar, plus/minus, din care: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57B45C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ED609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5DBFA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4F550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A3E2B1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C77F8" w14:textId="77777777" w:rsidR="007E1EEB" w:rsidRPr="00C95C0A" w:rsidRDefault="007E1EEB" w:rsidP="00C7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5BD12E9E" w14:textId="77777777" w:rsidTr="00C757BE">
              <w:trPr>
                <w:trHeight w:val="390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F0850" w14:textId="77777777" w:rsidR="007E1EEB" w:rsidRPr="00C95C0A" w:rsidRDefault="007E1EEB" w:rsidP="00C757B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buget de stat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EA86C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01C63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DE40B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27148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0B796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FECED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65E89AD8" w14:textId="77777777" w:rsidTr="00C757BE">
              <w:trPr>
                <w:trHeight w:val="165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63A2B" w14:textId="77777777" w:rsidR="007E1EEB" w:rsidRPr="00C95C0A" w:rsidRDefault="007E1EEB" w:rsidP="00C757B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bugetele locale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24423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9CB541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E2547C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FD2AC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D1B7BF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FB1F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100D80BD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92E5B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4. Propuneri pentru acoperirea creşterii cheltuielilor  bugetare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C42363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8E6E00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1EB219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A3101E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AE4117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3E24D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0C25665B" w14:textId="77777777" w:rsidTr="00C757BE">
              <w:trPr>
                <w:trHeight w:val="531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08130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5. Propuneri pentru a compensa reducerea  veniturilor bugetare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3906ED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CB6893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7784E7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325FEA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969796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20777" w14:textId="77777777" w:rsidR="007E1EEB" w:rsidRPr="00C95C0A" w:rsidRDefault="007E1EEB" w:rsidP="00C75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E1EEB" w:rsidRPr="00C95C0A" w14:paraId="543FC8E0" w14:textId="77777777" w:rsidTr="00C757BE"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469EF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6. Calcule detaliate privind fundamentarea  modificărilor veniturilor şi/sau cheltuielilor bugetare </w:t>
                  </w:r>
                </w:p>
              </w:tc>
              <w:tc>
                <w:tcPr>
                  <w:tcW w:w="60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F0A422" w14:textId="77777777" w:rsidR="007E1EEB" w:rsidRPr="00C95C0A" w:rsidRDefault="007E1EEB" w:rsidP="00C75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  <w:p w14:paraId="56D56991" w14:textId="77777777" w:rsidR="007E1EEB" w:rsidRPr="00C95C0A" w:rsidRDefault="007E1EEB" w:rsidP="00C75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Proiectul de act normativ nu se referă la acest subiect. </w:t>
                  </w:r>
                </w:p>
              </w:tc>
            </w:tr>
            <w:tr w:rsidR="007E1EEB" w:rsidRPr="00C95C0A" w14:paraId="004334C0" w14:textId="77777777" w:rsidTr="00C757BE">
              <w:trPr>
                <w:trHeight w:val="279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A141D" w14:textId="77777777" w:rsidR="007E1EEB" w:rsidRPr="00C95C0A" w:rsidRDefault="007E1EEB" w:rsidP="00C757BE">
                  <w:pPr>
                    <w:tabs>
                      <w:tab w:val="left" w:pos="29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C95C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7. Alte informaţii </w:t>
                  </w:r>
                </w:p>
              </w:tc>
              <w:tc>
                <w:tcPr>
                  <w:tcW w:w="60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27519" w14:textId="77777777" w:rsidR="007E1EEB" w:rsidRPr="00C95C0A" w:rsidRDefault="007E1EEB" w:rsidP="00C757BE">
                  <w:pPr>
                    <w:spacing w:after="0" w:line="240" w:lineRule="auto"/>
                    <w:ind w:right="-7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2D4B561C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574D2E85" w14:textId="77777777" w:rsidTr="00C757BE">
        <w:trPr>
          <w:trHeight w:val="339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5430" w14:textId="77777777" w:rsidR="007E1EEB" w:rsidRPr="00C95C0A" w:rsidRDefault="007E1EEB" w:rsidP="000C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4039911B" w14:textId="0F8F3015" w:rsidR="000C6036" w:rsidRDefault="007E1EEB" w:rsidP="000C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 5-a:</w:t>
            </w:r>
          </w:p>
          <w:p w14:paraId="711F81A3" w14:textId="68B343B6" w:rsidR="007E1EEB" w:rsidRPr="00C95C0A" w:rsidRDefault="007E1EEB" w:rsidP="000C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Efectele proiectului de act normativ asupra legislaţiei în vigoare</w:t>
            </w:r>
          </w:p>
          <w:p w14:paraId="60BD4000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0418E73B" w14:textId="77777777" w:rsidTr="00C757BE">
        <w:trPr>
          <w:trHeight w:val="339"/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E7B15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14:paraId="2BC4BB82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a) acte normative  în vigoare ce vor fi modificate sau abrogate, ca urmare a intrării în vigoare a proiectului de act normativ;</w:t>
            </w:r>
          </w:p>
          <w:p w14:paraId="355A2CC4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   b) acte normative ce urmează a fi elaborate în vederea  implementării noilor dispoziţii</w:t>
            </w:r>
          </w:p>
        </w:tc>
        <w:tc>
          <w:tcPr>
            <w:tcW w:w="6358" w:type="dxa"/>
            <w:vAlign w:val="center"/>
          </w:tcPr>
          <w:p w14:paraId="5F741A11" w14:textId="25B98619" w:rsidR="00F44EE5" w:rsidRPr="0028202C" w:rsidRDefault="00F44EE5" w:rsidP="003B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</w:pPr>
            <w:r w:rsidRPr="00DD0813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Metodologia de decontare a costurilor de evaluare de mediu a amenajamentelor silvice </w:t>
            </w:r>
            <w:r w:rsidRPr="00DD081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care</w:t>
            </w:r>
            <w:r w:rsidRPr="00DD0813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o-RO"/>
              </w:rPr>
              <w:t xml:space="preserve"> se revizuiesc</w:t>
            </w:r>
            <w:r w:rsidRPr="00DD081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care se suprapun parțial sau total peste arii naturale protejate de interes comunitar se aprobă prin ordin al conducătorului autorității publice centrale care răspunde de silvicultură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în termen de 30 de zile de la data intrării în vigoare a prezentei ordonanțe</w:t>
            </w:r>
            <w:r w:rsidRPr="00DD081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E1EEB" w:rsidRPr="00C95C0A" w14:paraId="454BBFFE" w14:textId="77777777" w:rsidTr="00C757BE">
        <w:trPr>
          <w:trHeight w:val="339"/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B68DF" w14:textId="640D2FAA" w:rsidR="007E1EEB" w:rsidRPr="00C95C0A" w:rsidRDefault="007E1EEB" w:rsidP="00C7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1¹ </w:t>
            </w:r>
            <w:r w:rsidRPr="00C95C0A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 Compatibilitatea proiectului de  act normativ cu legislaţia în domeniul achiziţiilor publice</w:t>
            </w:r>
          </w:p>
          <w:p w14:paraId="15A313D2" w14:textId="77777777" w:rsidR="007E1EEB" w:rsidRPr="00C95C0A" w:rsidRDefault="007E1EEB" w:rsidP="00C75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impact legislativ-prevederi de </w:t>
            </w:r>
          </w:p>
          <w:p w14:paraId="2C3C2CD7" w14:textId="77777777" w:rsidR="007E1EEB" w:rsidRPr="00C95C0A" w:rsidRDefault="007E1EEB" w:rsidP="00C757BE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modificare şi completare a cadrului normative în domeniul achiziţiilor publice, prevederi derogatorii;</w:t>
            </w:r>
          </w:p>
          <w:p w14:paraId="1B910DDF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b )  norme cu impact la nivel operational/tehnic-sisteme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358" w:type="dxa"/>
            <w:vAlign w:val="center"/>
          </w:tcPr>
          <w:p w14:paraId="26CDEEB8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 de  act normativ nu se  referă  la acest subiect.</w:t>
            </w:r>
          </w:p>
        </w:tc>
      </w:tr>
      <w:tr w:rsidR="007E1EEB" w:rsidRPr="00C95C0A" w14:paraId="0CF95324" w14:textId="77777777" w:rsidTr="00C757BE">
        <w:trPr>
          <w:trHeight w:val="339"/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14121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Conformitatea  proiectului de act normativ cu legislaţia comunitară în cazul proiectelor ce transpun prevederi comunitare</w:t>
            </w:r>
          </w:p>
        </w:tc>
        <w:tc>
          <w:tcPr>
            <w:tcW w:w="6358" w:type="dxa"/>
            <w:vAlign w:val="center"/>
          </w:tcPr>
          <w:p w14:paraId="5EFC37E6" w14:textId="734F0C38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 de  act normativ nu se  referă  la acest subiect.                                                </w:t>
            </w:r>
          </w:p>
        </w:tc>
      </w:tr>
      <w:tr w:rsidR="007E1EEB" w:rsidRPr="00C95C0A" w14:paraId="36CDD3D3" w14:textId="77777777" w:rsidTr="00C757BE">
        <w:trPr>
          <w:trHeight w:val="339"/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744B9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358" w:type="dxa"/>
            <w:vAlign w:val="center"/>
          </w:tcPr>
          <w:p w14:paraId="50145355" w14:textId="79A37DA9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 de  act normativ nu se  referă  la acest subiect.                                                </w:t>
            </w:r>
          </w:p>
        </w:tc>
      </w:tr>
      <w:tr w:rsidR="007E1EEB" w:rsidRPr="00C95C0A" w14:paraId="70021C02" w14:textId="77777777" w:rsidTr="00C757BE">
        <w:trPr>
          <w:trHeight w:val="339"/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4075E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  Hotărâri ale Curţii de Justiţie a Uniunii Europene</w:t>
            </w:r>
          </w:p>
        </w:tc>
        <w:tc>
          <w:tcPr>
            <w:tcW w:w="6358" w:type="dxa"/>
            <w:vAlign w:val="center"/>
          </w:tcPr>
          <w:p w14:paraId="79DB6016" w14:textId="0B40D7A0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 de  act normativ nu se  referă  la acest subiect.                                       </w:t>
            </w:r>
          </w:p>
        </w:tc>
      </w:tr>
      <w:tr w:rsidR="007E1EEB" w:rsidRPr="00C95C0A" w14:paraId="23DAC68B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67D9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  Alte acte normative şi/sau documente internaţionale din care decurg angajamente</w:t>
            </w:r>
          </w:p>
        </w:tc>
        <w:tc>
          <w:tcPr>
            <w:tcW w:w="6358" w:type="dxa"/>
            <w:vAlign w:val="center"/>
          </w:tcPr>
          <w:p w14:paraId="4A11B1B2" w14:textId="0946B0E9" w:rsidR="007E1EEB" w:rsidRPr="00C95C0A" w:rsidRDefault="007E1EEB" w:rsidP="003B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 de  act normativ nu se  referă  la acest subiect.                                                </w:t>
            </w:r>
          </w:p>
        </w:tc>
      </w:tr>
      <w:tr w:rsidR="007E1EEB" w:rsidRPr="00C95C0A" w14:paraId="2370F20B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83E9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  Alte informaţii</w:t>
            </w:r>
          </w:p>
        </w:tc>
        <w:tc>
          <w:tcPr>
            <w:tcW w:w="6358" w:type="dxa"/>
            <w:vAlign w:val="center"/>
          </w:tcPr>
          <w:p w14:paraId="57744B13" w14:textId="65C4CE7D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  au fost identificate.</w:t>
            </w:r>
          </w:p>
        </w:tc>
      </w:tr>
      <w:tr w:rsidR="007E1EEB" w:rsidRPr="00C95C0A" w14:paraId="02107A4C" w14:textId="77777777" w:rsidTr="00C757BE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2572E" w14:textId="77777777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08865B3E" w14:textId="77777777" w:rsidR="000C6036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Secţiunea a 6-a: </w:t>
            </w:r>
          </w:p>
          <w:p w14:paraId="57D7489D" w14:textId="03344D4E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  <w:p w14:paraId="7909A51E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0452D895" w14:textId="77777777" w:rsidTr="00C757BE">
        <w:trPr>
          <w:trHeight w:val="932"/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0559A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358" w:type="dxa"/>
          </w:tcPr>
          <w:p w14:paraId="5250E44A" w14:textId="718C3978" w:rsidR="007E1EEB" w:rsidRPr="00C95C0A" w:rsidRDefault="007E1EEB" w:rsidP="00D7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>Proiectul de act normativ a fost elaborat cu consultarea  Regiei N</w:t>
            </w:r>
            <w:r w:rsidR="00D72B2F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>aţionale a Pădurilor – Romsilva</w:t>
            </w:r>
            <w:r w:rsidRPr="00C95C0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 xml:space="preserve"> </w:t>
            </w:r>
            <w:r w:rsidR="00D72B2F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>și</w:t>
            </w:r>
            <w:r w:rsidRPr="00C95C0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 xml:space="preserve"> </w:t>
            </w:r>
            <w:proofErr w:type="spellStart"/>
            <w:r w:rsidRPr="00C95C0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>Asociaţiei</w:t>
            </w:r>
            <w:proofErr w:type="spellEnd"/>
            <w:r w:rsidRPr="00C95C0A">
              <w:rPr>
                <w:rFonts w:ascii="Times New Roman" w:hAnsi="Times New Roman" w:cs="Times New Roman"/>
                <w:sz w:val="24"/>
                <w:szCs w:val="24"/>
                <w:lang w:val="ro-RO" w:bidi="en-US"/>
              </w:rPr>
              <w:t xml:space="preserve"> Forestierilor din România-ASFOR.</w:t>
            </w:r>
          </w:p>
        </w:tc>
      </w:tr>
      <w:tr w:rsidR="007E1EEB" w:rsidRPr="00C95C0A" w14:paraId="4FF5A119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B7C9B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2. Fundamentarea alegerii organizaţiilor cu care a avut loc consultarea, precum şi a modului în care activitatea acestor organizaţii este legată de obiectul proiectului de act normativ    </w:t>
            </w:r>
          </w:p>
        </w:tc>
        <w:tc>
          <w:tcPr>
            <w:tcW w:w="6358" w:type="dxa"/>
          </w:tcPr>
          <w:p w14:paraId="5FF83427" w14:textId="02E4BD61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 de  act normativ nu se  referă  la acest subiect</w:t>
            </w:r>
            <w:r w:rsidR="00CE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7E1EEB" w:rsidRPr="00C95C0A" w14:paraId="7D6B16F0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20943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Consultările organizate cu autorităţile  administraţiei publice locale, în situaţia în care proiectul de act normativ are ca obiect  activităţi ale acestor autorităţi, în condiţiile 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358" w:type="dxa"/>
          </w:tcPr>
          <w:p w14:paraId="239A0644" w14:textId="77777777" w:rsidR="007E1EEB" w:rsidRPr="00C95C0A" w:rsidRDefault="007E1EEB" w:rsidP="00C757BE">
            <w:pPr>
              <w:tabs>
                <w:tab w:val="left" w:pos="-54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</w:p>
          <w:p w14:paraId="66EF17A6" w14:textId="244D8F3B" w:rsidR="007E1EEB" w:rsidRPr="00C95C0A" w:rsidRDefault="00287141" w:rsidP="002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7E1EEB" w:rsidRPr="00C95C0A" w14:paraId="4503798B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BFB03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4. Consultările desfăşurate în cadrul consiliilor interministeriale, în conformitate cu prevederile Hotărârii Guvernului nr. 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750/2005  privind  constituirea consiliilor interministeriale permanente  </w:t>
            </w:r>
          </w:p>
        </w:tc>
        <w:tc>
          <w:tcPr>
            <w:tcW w:w="6358" w:type="dxa"/>
          </w:tcPr>
          <w:p w14:paraId="6A75D1EE" w14:textId="1A477630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7E1EEB" w:rsidRPr="00C95C0A" w14:paraId="7CCF9C76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A9A6B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Informaţii privind avizarea de către:</w:t>
            </w:r>
          </w:p>
          <w:p w14:paraId="7BE2DB4D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a) Consiliul Legislativ</w:t>
            </w:r>
          </w:p>
          <w:p w14:paraId="49041068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b) Consiliul Suprem de Apărare a Ţării</w:t>
            </w:r>
          </w:p>
          <w:p w14:paraId="3BF6544D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c) Consiliul Economic şi Social</w:t>
            </w:r>
          </w:p>
          <w:p w14:paraId="740CE4BD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d) Consiliul Concurenţei</w:t>
            </w:r>
          </w:p>
          <w:p w14:paraId="2DB00D8A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429BE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  <w:p w14:paraId="78C24A37" w14:textId="77777777" w:rsidR="007E1EEB" w:rsidRPr="00C95C0A" w:rsidRDefault="007E1EEB" w:rsidP="00C757BE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</w:p>
          <w:p w14:paraId="50A62B45" w14:textId="77777777" w:rsidR="007E1EEB" w:rsidRPr="00C95C0A" w:rsidRDefault="007E1EEB" w:rsidP="00C757BE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1D6E9AF" w14:textId="472E35C4" w:rsidR="007E1EEB" w:rsidRPr="00C95C0A" w:rsidRDefault="007E1EEB" w:rsidP="003B10CB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F4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rezentul act normativ urmează </w:t>
            </w:r>
            <w:r w:rsidR="00F4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să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fi</w:t>
            </w:r>
            <w:r w:rsidR="00F4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avizat de către Consiliul Legislativ. </w:t>
            </w:r>
          </w:p>
        </w:tc>
      </w:tr>
      <w:tr w:rsidR="007E1EEB" w:rsidRPr="00C95C0A" w14:paraId="377EA9E9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25C6B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6. Alte informaţii                                                              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050F6" w14:textId="48AB7086" w:rsidR="007E1EEB" w:rsidRPr="00C95C0A" w:rsidRDefault="00F44EE5" w:rsidP="0028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7E1EEB" w:rsidRPr="00C95C0A" w14:paraId="4A7252B1" w14:textId="77777777" w:rsidTr="00C757BE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9207F" w14:textId="77777777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1EDE58E" w14:textId="77777777" w:rsidR="00CE6A9C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Secţiunea a 7-a: </w:t>
            </w:r>
          </w:p>
          <w:p w14:paraId="3D705B3D" w14:textId="1F8023E6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Activităţi de informare publică privind elaborarea si implementarea proiectului de act normativ</w:t>
            </w:r>
          </w:p>
          <w:p w14:paraId="1A69085B" w14:textId="77777777" w:rsidR="007E1EEB" w:rsidRPr="00C95C0A" w:rsidRDefault="007E1EEB" w:rsidP="00C7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795EC2D1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B1CA8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Informarea societăţii civile cu privire la necesitatea elaborării proiectului de act normativ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71007" w14:textId="749F43AA" w:rsidR="007E1EEB" w:rsidRPr="00C95C0A" w:rsidRDefault="00D72B2F" w:rsidP="00D72B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de act normativ intră sub incidența prevederilor art. 7 alin. (13) din </w:t>
            </w:r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Legea nr.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52/2003 privind </w:t>
            </w:r>
            <w:proofErr w:type="spellStart"/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transparenţa</w:t>
            </w:r>
            <w:proofErr w:type="spellEnd"/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decizională în </w:t>
            </w:r>
            <w:proofErr w:type="spellStart"/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administraţia</w:t>
            </w:r>
            <w:proofErr w:type="spellEnd"/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pub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lică, republicată, conform cărora: „</w:t>
            </w:r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cazul reglementării unei </w:t>
            </w:r>
            <w:proofErr w:type="spellStart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situaţii</w:t>
            </w:r>
            <w:proofErr w:type="spellEnd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care, din cauza </w:t>
            </w:r>
            <w:proofErr w:type="spellStart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circumstanţelor</w:t>
            </w:r>
            <w:proofErr w:type="spellEnd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sale </w:t>
            </w:r>
            <w:proofErr w:type="spellStart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excepţionale</w:t>
            </w:r>
            <w:proofErr w:type="spellEnd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impune adoptarea de </w:t>
            </w:r>
            <w:proofErr w:type="spellStart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soluţii</w:t>
            </w:r>
            <w:proofErr w:type="spellEnd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imediate, în vederea evitării unei grave atingeri aduse interesului public, proiectele de acte normative se supun adoptării în procedura de </w:t>
            </w:r>
            <w:proofErr w:type="spellStart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urgenţă</w:t>
            </w:r>
            <w:proofErr w:type="spellEnd"/>
            <w:r w:rsidRPr="00D72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prevăzută de reglementările în vigoare.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</w:p>
        </w:tc>
      </w:tr>
      <w:tr w:rsidR="007E1EEB" w:rsidRPr="00C95C0A" w14:paraId="12E62834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4C9CE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EC3AC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   </w:t>
            </w:r>
          </w:p>
          <w:p w14:paraId="41C55D2C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4B9449F5" w14:textId="203B0B05" w:rsidR="007E1EEB" w:rsidRPr="00C95C0A" w:rsidRDefault="00F44EE5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E1EEB"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7E1EEB" w:rsidRPr="00C95C0A" w14:paraId="3ECD2A7F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11175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3. Alte informaţii 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782AF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au fost identificate.</w:t>
            </w:r>
          </w:p>
        </w:tc>
      </w:tr>
      <w:tr w:rsidR="007E1EEB" w:rsidRPr="00C95C0A" w14:paraId="3A1E902F" w14:textId="77777777" w:rsidTr="00C757BE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4A50E" w14:textId="77777777" w:rsidR="000C6036" w:rsidRDefault="000C6036" w:rsidP="00CE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D426379" w14:textId="76EF13B9" w:rsidR="000C6036" w:rsidRDefault="007E1EEB" w:rsidP="00CE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Secţiunea a 8-a: </w:t>
            </w:r>
          </w:p>
          <w:p w14:paraId="5FE42972" w14:textId="25670BF4" w:rsidR="007E1EEB" w:rsidRPr="00C95C0A" w:rsidRDefault="007E1EEB" w:rsidP="00CE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Măsuri de implementare</w:t>
            </w:r>
          </w:p>
          <w:p w14:paraId="4F16D60D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E1EEB" w:rsidRPr="00C95C0A" w14:paraId="4111EF9F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1E49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Măsurile de punere în aplicare a proiectului de act normativ de către autorităţile administraţiei publice centrale şi/sau locale - înfiinţarea unor noi organisme sau extinderea competenţelor instituţiilor existente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CADBD" w14:textId="0B5BD855" w:rsidR="007E1EEB" w:rsidRPr="00C95C0A" w:rsidRDefault="007E1EEB" w:rsidP="003B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3B1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act normativ nu se referă la acest subiect.</w:t>
            </w:r>
          </w:p>
        </w:tc>
      </w:tr>
      <w:tr w:rsidR="007E1EEB" w:rsidRPr="00C95C0A" w14:paraId="60CBA473" w14:textId="77777777" w:rsidTr="00C757BE">
        <w:trPr>
          <w:tblCellSpacing w:w="0" w:type="dxa"/>
        </w:trPr>
        <w:tc>
          <w:tcPr>
            <w:tcW w:w="4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276EF" w14:textId="77777777" w:rsidR="007E1EEB" w:rsidRPr="00C95C0A" w:rsidRDefault="007E1EEB" w:rsidP="00C7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2.  Alte informaţii </w:t>
            </w:r>
          </w:p>
        </w:tc>
        <w:tc>
          <w:tcPr>
            <w:tcW w:w="63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9964E" w14:textId="5D86E535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C95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  au fost identificate.</w:t>
            </w:r>
          </w:p>
          <w:p w14:paraId="7547DBE4" w14:textId="77777777" w:rsidR="007E1EEB" w:rsidRPr="00C95C0A" w:rsidRDefault="007E1EEB" w:rsidP="00C7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F70BBE5" w14:textId="77777777" w:rsidR="007E1EEB" w:rsidRPr="00C95C0A" w:rsidRDefault="007E1EEB" w:rsidP="007E1EEB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2E54484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50824D66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31E02CE7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00277483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04AD69DC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0BC2CD1B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4B433ECA" w14:textId="77777777" w:rsidR="007E1EEB" w:rsidRPr="00C95C0A" w:rsidRDefault="007E1EEB" w:rsidP="007E1EEB">
      <w:pPr>
        <w:shd w:val="clear" w:color="auto" w:fill="FFFFFF"/>
        <w:autoSpaceDE w:val="0"/>
        <w:autoSpaceDN w:val="0"/>
        <w:spacing w:after="0" w:line="240" w:lineRule="auto"/>
        <w:ind w:left="-284" w:right="338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24F5EDDF" w14:textId="77777777" w:rsidR="007E1EEB" w:rsidRDefault="007E1EEB" w:rsidP="009B1457">
      <w:pPr>
        <w:shd w:val="clear" w:color="auto" w:fill="FFFFFF"/>
        <w:autoSpaceDE w:val="0"/>
        <w:autoSpaceDN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0ECEFA98" w14:textId="77777777" w:rsidR="00F44EE5" w:rsidRDefault="00F44EE5" w:rsidP="009B1457">
      <w:pPr>
        <w:shd w:val="clear" w:color="auto" w:fill="FFFFFF"/>
        <w:autoSpaceDE w:val="0"/>
        <w:autoSpaceDN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</w:p>
    <w:p w14:paraId="3FA5F711" w14:textId="77777777" w:rsidR="007E1EEB" w:rsidRPr="00287141" w:rsidRDefault="007E1EEB" w:rsidP="00287141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</w:pPr>
      <w:r w:rsidRPr="00287141"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  <w:lastRenderedPageBreak/>
        <w:t xml:space="preserve">Pentru considerentele de mai sus, am elaborat proiectul </w:t>
      </w:r>
      <w:r w:rsidRPr="00C750B1"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  <w:t>de</w:t>
      </w:r>
      <w:r w:rsidRPr="00CE6A9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o-RO" w:bidi="en-US"/>
        </w:rPr>
        <w:t xml:space="preserve"> </w:t>
      </w:r>
      <w:r w:rsidR="00287141" w:rsidRPr="00CE6A9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o-RO" w:bidi="en-US"/>
        </w:rPr>
        <w:t xml:space="preserve">Ordonanță a Guvernului </w:t>
      </w:r>
      <w:r w:rsidR="00287141" w:rsidRPr="00CE6A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r w:rsidR="00287141" w:rsidRPr="00CE6A9C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 xml:space="preserve">utilizarea </w:t>
      </w:r>
      <w:r w:rsidR="00287141" w:rsidRPr="00CE6A9C">
        <w:rPr>
          <w:rFonts w:ascii="Times New Roman" w:hAnsi="Times New Roman" w:cs="Times New Roman"/>
          <w:b/>
          <w:bCs/>
          <w:sz w:val="24"/>
          <w:szCs w:val="24"/>
          <w:lang w:val="ro-RO"/>
        </w:rPr>
        <w:t>Fondului de ameliorare a fondului funciar cu destinaţie silvică</w:t>
      </w:r>
      <w:r w:rsidR="00287141" w:rsidRPr="00CE6A9C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 xml:space="preserve"> pentru evaluarea de mediu a amenajamentelor silvice </w:t>
      </w:r>
      <w:r w:rsidR="00287141" w:rsidRPr="00CE6A9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care</w:t>
      </w:r>
      <w:r w:rsidR="00287141" w:rsidRPr="00CE6A9C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 xml:space="preserve"> se revizuiesc</w:t>
      </w:r>
      <w:r w:rsidR="00287141" w:rsidRPr="00CE6A9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și care se suprapun parțial sau total peste arii naturale protejate de interes comunitar</w:t>
      </w:r>
      <w:r w:rsidRPr="00CE6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</w:t>
      </w:r>
      <w:r w:rsidRPr="00287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287141">
        <w:rPr>
          <w:rFonts w:ascii="Times New Roman" w:eastAsia="Calibri" w:hAnsi="Times New Roman" w:cs="Times New Roman"/>
          <w:noProof/>
          <w:sz w:val="24"/>
          <w:szCs w:val="24"/>
          <w:lang w:val="ro-RO" w:bidi="en-US"/>
        </w:rPr>
        <w:t xml:space="preserve">care în forma prezentată a fost avizat de către ministerele interesate şi de Consiliul Legislativ şi pe care îl supunem spre adoptare. </w:t>
      </w:r>
    </w:p>
    <w:p w14:paraId="5D042B94" w14:textId="77777777" w:rsidR="007E1EEB" w:rsidRPr="00C95C0A" w:rsidRDefault="007E1EEB" w:rsidP="007E1EEB">
      <w:pPr>
        <w:tabs>
          <w:tab w:val="left" w:pos="2835"/>
        </w:tabs>
        <w:spacing w:after="0" w:line="360" w:lineRule="auto"/>
        <w:ind w:left="-993" w:right="33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59344D7E" w14:textId="77777777" w:rsidR="009B1457" w:rsidRDefault="007E1EEB" w:rsidP="007E1EEB">
      <w:pPr>
        <w:tabs>
          <w:tab w:val="left" w:pos="2835"/>
        </w:tabs>
        <w:spacing w:after="0" w:line="360" w:lineRule="auto"/>
        <w:ind w:left="-993" w:right="3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C95C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                     </w:t>
      </w:r>
    </w:p>
    <w:p w14:paraId="0408B5E5" w14:textId="24E6EC27" w:rsidR="007E1EEB" w:rsidRPr="00C95C0A" w:rsidRDefault="00B141E5" w:rsidP="007E1EEB">
      <w:pPr>
        <w:tabs>
          <w:tab w:val="left" w:pos="2835"/>
        </w:tabs>
        <w:spacing w:after="0" w:line="360" w:lineRule="auto"/>
        <w:ind w:left="-993" w:right="3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               </w:t>
      </w:r>
      <w:r w:rsidR="007E1EEB" w:rsidRPr="00C95C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MINISTRUL MEDIULUI, APELOR ŞI PĂDURILOR</w:t>
      </w:r>
    </w:p>
    <w:p w14:paraId="5D36BF99" w14:textId="77777777" w:rsidR="007E1EEB" w:rsidRPr="00C95C0A" w:rsidRDefault="007E1EEB" w:rsidP="007E1EEB">
      <w:pPr>
        <w:shd w:val="clear" w:color="auto" w:fill="FFFFFF"/>
        <w:spacing w:after="150" w:line="39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95C0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BARNA </w:t>
      </w:r>
      <w:r w:rsidRPr="00C95C0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o-RO"/>
        </w:rPr>
        <w:t>TÁNCZOS</w:t>
      </w:r>
    </w:p>
    <w:p w14:paraId="18612D45" w14:textId="49FE6803" w:rsidR="007E1EEB" w:rsidRDefault="007E1EEB" w:rsidP="007E1EEB">
      <w:pPr>
        <w:shd w:val="clear" w:color="auto" w:fill="FFFFFF"/>
        <w:spacing w:after="150" w:line="39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FE91EBF" w14:textId="77777777" w:rsidR="00B141E5" w:rsidRPr="00C95C0A" w:rsidRDefault="00B141E5" w:rsidP="007E1EEB">
      <w:pPr>
        <w:shd w:val="clear" w:color="auto" w:fill="FFFFFF"/>
        <w:spacing w:after="150" w:line="39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3127DFD" w14:textId="77777777" w:rsidR="007E1EEB" w:rsidRPr="00C95C0A" w:rsidRDefault="007E1EEB" w:rsidP="007E1EEB">
      <w:pPr>
        <w:tabs>
          <w:tab w:val="left" w:pos="2835"/>
        </w:tabs>
        <w:spacing w:after="0" w:line="360" w:lineRule="auto"/>
        <w:ind w:left="360" w:right="3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C95C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AVIZĂM </w:t>
      </w:r>
    </w:p>
    <w:p w14:paraId="57784F84" w14:textId="77777777" w:rsidR="007E1EEB" w:rsidRPr="00C95C0A" w:rsidRDefault="007E1EEB" w:rsidP="00CE6A9C">
      <w:pPr>
        <w:tabs>
          <w:tab w:val="left" w:pos="2835"/>
        </w:tabs>
        <w:spacing w:after="0" w:line="360" w:lineRule="auto"/>
        <w:ind w:right="33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3D8F576A" w14:textId="77777777" w:rsidR="007E1EEB" w:rsidRPr="00C95C0A" w:rsidRDefault="007E1EEB" w:rsidP="007E1EEB">
      <w:pPr>
        <w:tabs>
          <w:tab w:val="left" w:pos="2835"/>
        </w:tabs>
        <w:spacing w:after="0" w:line="360" w:lineRule="auto"/>
        <w:ind w:left="360" w:right="3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C95C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VICEPRIM-MINISTRU</w:t>
      </w:r>
    </w:p>
    <w:p w14:paraId="3F195CE4" w14:textId="77777777" w:rsidR="007E1EEB" w:rsidRPr="00C95C0A" w:rsidRDefault="007E1EEB" w:rsidP="007E1EEB">
      <w:pPr>
        <w:tabs>
          <w:tab w:val="left" w:pos="2835"/>
        </w:tabs>
        <w:spacing w:after="0" w:line="360" w:lineRule="auto"/>
        <w:ind w:left="360" w:right="3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C95C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HUNOR KELEMEN</w:t>
      </w:r>
    </w:p>
    <w:tbl>
      <w:tblPr>
        <w:tblW w:w="11063" w:type="dxa"/>
        <w:tblInd w:w="-426" w:type="dxa"/>
        <w:tblLook w:val="01E0" w:firstRow="1" w:lastRow="1" w:firstColumn="1" w:lastColumn="1" w:noHBand="0" w:noVBand="0"/>
      </w:tblPr>
      <w:tblGrid>
        <w:gridCol w:w="5934"/>
        <w:gridCol w:w="5129"/>
      </w:tblGrid>
      <w:tr w:rsidR="007E1EEB" w:rsidRPr="00C95C0A" w14:paraId="6B619848" w14:textId="77777777" w:rsidTr="00C757BE">
        <w:trPr>
          <w:trHeight w:val="68"/>
        </w:trPr>
        <w:tc>
          <w:tcPr>
            <w:tcW w:w="5934" w:type="dxa"/>
          </w:tcPr>
          <w:p w14:paraId="4B0D796F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5EF872A9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7C53A757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3047AEAA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4D844B3D" w14:textId="41C56CD5" w:rsidR="007E1EEB" w:rsidRDefault="007E1EEB" w:rsidP="00B141E5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4DED106E" w14:textId="77777777" w:rsidR="00684BE4" w:rsidRPr="00C95C0A" w:rsidRDefault="00684BE4" w:rsidP="00B141E5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31C588A4" w14:textId="15073817" w:rsidR="007E1EEB" w:rsidRPr="00C95C0A" w:rsidRDefault="00CE6A9C" w:rsidP="00CE6A9C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               </w:t>
            </w:r>
            <w:r w:rsidR="007E1EEB"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MINISTRUL FINANŢELOR</w:t>
            </w:r>
          </w:p>
          <w:p w14:paraId="0217C5B0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650796B3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6F2D3FD9" w14:textId="564C54D2" w:rsidR="007E1EEB" w:rsidRPr="00C95C0A" w:rsidRDefault="00684BE4" w:rsidP="00684BE4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                   </w:t>
            </w:r>
            <w:r w:rsidR="007E1EEB" w:rsidRPr="00C95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ADRIAN CÂCIU</w:t>
            </w:r>
          </w:p>
          <w:p w14:paraId="35F74B1D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6B0964EF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62721703" w14:textId="77777777" w:rsidR="007E1EEB" w:rsidRPr="00C95C0A" w:rsidRDefault="007E1EEB" w:rsidP="00287141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                </w:t>
            </w:r>
          </w:p>
          <w:p w14:paraId="4DE9C766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C9370D2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5F5BD6D1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614D0869" w14:textId="77777777" w:rsidR="007E1EEB" w:rsidRPr="00C95C0A" w:rsidRDefault="007E1EEB" w:rsidP="00287141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29" w:type="dxa"/>
          </w:tcPr>
          <w:p w14:paraId="6F88F90B" w14:textId="77777777" w:rsidR="007E1EEB" w:rsidRPr="00C95C0A" w:rsidRDefault="007E1EEB" w:rsidP="00B141E5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4C70F5B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3FD81423" w14:textId="77777777" w:rsidR="007E1EEB" w:rsidRPr="00C95C0A" w:rsidRDefault="007E1EEB" w:rsidP="00CE6A9C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5F896552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180"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3500D621" w14:textId="77777777" w:rsidR="007E1EEB" w:rsidRPr="00C95C0A" w:rsidRDefault="007E1EEB" w:rsidP="00C757BE">
            <w:pPr>
              <w:shd w:val="clear" w:color="auto" w:fill="FFFFFF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5E8BAB" w14:textId="77777777" w:rsidR="00684BE4" w:rsidRDefault="00684BE4" w:rsidP="00287141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7C237392" w14:textId="0FBADA8A" w:rsidR="00287141" w:rsidRPr="00C95C0A" w:rsidRDefault="00287141" w:rsidP="00287141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MINISTRUL JUSTIŢIEI</w:t>
            </w:r>
          </w:p>
          <w:p w14:paraId="7715A218" w14:textId="77777777" w:rsidR="00287141" w:rsidRPr="00C95C0A" w:rsidRDefault="00287141" w:rsidP="00287141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3F86EE1" w14:textId="77777777" w:rsidR="00287141" w:rsidRPr="00C95C0A" w:rsidRDefault="00287141" w:rsidP="00287141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3CC26077" w14:textId="77777777" w:rsidR="00287141" w:rsidRPr="00C95C0A" w:rsidRDefault="00287141" w:rsidP="00287141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95C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MARIAN-CĂTĂLIN PREDOIU</w:t>
            </w:r>
          </w:p>
          <w:p w14:paraId="07FB8DF3" w14:textId="77777777" w:rsidR="007E1EEB" w:rsidRPr="00C95C0A" w:rsidRDefault="007E1EEB" w:rsidP="00C757B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8815926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545F7A5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83A63EA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317BBF0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09194F2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3C0BC894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2B1AA63D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38684F26" w14:textId="77777777" w:rsidR="007E1EEB" w:rsidRPr="00C95C0A" w:rsidRDefault="007E1EEB" w:rsidP="00C757BE">
            <w:pPr>
              <w:tabs>
                <w:tab w:val="left" w:pos="1245"/>
                <w:tab w:val="left" w:pos="1995"/>
                <w:tab w:val="left" w:pos="2835"/>
              </w:tabs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4B1283E" w14:textId="77777777" w:rsidR="007E1EEB" w:rsidRPr="00C95C0A" w:rsidRDefault="007E1EEB" w:rsidP="00C757BE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E5F0E0F" w14:textId="77777777" w:rsidR="00542028" w:rsidRPr="00C95C0A" w:rsidRDefault="00542028">
      <w:pPr>
        <w:rPr>
          <w:rFonts w:ascii="Times New Roman" w:hAnsi="Times New Roman" w:cs="Times New Roman"/>
          <w:sz w:val="24"/>
          <w:szCs w:val="24"/>
        </w:rPr>
      </w:pPr>
    </w:p>
    <w:sectPr w:rsidR="00542028" w:rsidRPr="00C95C0A" w:rsidSect="00C75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284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F49A" w14:textId="77777777" w:rsidR="0078111B" w:rsidRDefault="0078111B">
      <w:pPr>
        <w:spacing w:after="0" w:line="240" w:lineRule="auto"/>
      </w:pPr>
      <w:r>
        <w:separator/>
      </w:r>
    </w:p>
  </w:endnote>
  <w:endnote w:type="continuationSeparator" w:id="0">
    <w:p w14:paraId="3B315A54" w14:textId="77777777" w:rsidR="0078111B" w:rsidRDefault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BD90" w14:textId="77777777" w:rsidR="007C6134" w:rsidRDefault="004E3B26" w:rsidP="007C6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C01E3AC" w14:textId="77777777" w:rsidR="007C6134" w:rsidRDefault="0078111B" w:rsidP="007C61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5AAF" w14:textId="77777777" w:rsidR="007C6134" w:rsidRDefault="0078111B" w:rsidP="007C6134">
    <w:pPr>
      <w:pStyle w:val="Footer"/>
      <w:framePr w:wrap="around" w:vAnchor="text" w:hAnchor="margin" w:xAlign="right" w:y="1"/>
      <w:rPr>
        <w:rStyle w:val="PageNumber"/>
      </w:rPr>
    </w:pPr>
  </w:p>
  <w:p w14:paraId="23AACBEF" w14:textId="77777777" w:rsidR="007C6134" w:rsidRDefault="0078111B" w:rsidP="007C613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5158" w14:textId="77777777" w:rsidR="007C6134" w:rsidRDefault="0078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EB62C" w14:textId="77777777" w:rsidR="0078111B" w:rsidRDefault="0078111B">
      <w:pPr>
        <w:spacing w:after="0" w:line="240" w:lineRule="auto"/>
      </w:pPr>
      <w:r>
        <w:separator/>
      </w:r>
    </w:p>
  </w:footnote>
  <w:footnote w:type="continuationSeparator" w:id="0">
    <w:p w14:paraId="23F08383" w14:textId="77777777" w:rsidR="0078111B" w:rsidRDefault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E4B2" w14:textId="77777777" w:rsidR="007C6134" w:rsidRDefault="00781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497A" w14:textId="1644F0B6" w:rsidR="007C6134" w:rsidRDefault="00781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CB97" w14:textId="77777777" w:rsidR="007C6134" w:rsidRDefault="00781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CA2"/>
    <w:multiLevelType w:val="hybridMultilevel"/>
    <w:tmpl w:val="6B761FDE"/>
    <w:lvl w:ilvl="0" w:tplc="70144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EC6"/>
    <w:multiLevelType w:val="hybridMultilevel"/>
    <w:tmpl w:val="E6CCC704"/>
    <w:lvl w:ilvl="0" w:tplc="AD4E1DA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7EC3988"/>
    <w:multiLevelType w:val="hybridMultilevel"/>
    <w:tmpl w:val="7AA8FB88"/>
    <w:lvl w:ilvl="0" w:tplc="AC222E52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0BB1"/>
    <w:multiLevelType w:val="hybridMultilevel"/>
    <w:tmpl w:val="94CA6DCE"/>
    <w:lvl w:ilvl="0" w:tplc="FFF856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5697"/>
    <w:multiLevelType w:val="hybridMultilevel"/>
    <w:tmpl w:val="AAA6351C"/>
    <w:lvl w:ilvl="0" w:tplc="E602775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444A8"/>
    <w:rsid w:val="000C6036"/>
    <w:rsid w:val="000D0047"/>
    <w:rsid w:val="000E1AC0"/>
    <w:rsid w:val="001238AE"/>
    <w:rsid w:val="00126C66"/>
    <w:rsid w:val="0016674B"/>
    <w:rsid w:val="001F2014"/>
    <w:rsid w:val="00221FCB"/>
    <w:rsid w:val="00256729"/>
    <w:rsid w:val="0028202C"/>
    <w:rsid w:val="00287141"/>
    <w:rsid w:val="002F52EB"/>
    <w:rsid w:val="003B10CB"/>
    <w:rsid w:val="004E3B26"/>
    <w:rsid w:val="00542028"/>
    <w:rsid w:val="00610CB9"/>
    <w:rsid w:val="00684BE4"/>
    <w:rsid w:val="00716375"/>
    <w:rsid w:val="0078111B"/>
    <w:rsid w:val="007E1EEB"/>
    <w:rsid w:val="00817707"/>
    <w:rsid w:val="0092696C"/>
    <w:rsid w:val="0097337C"/>
    <w:rsid w:val="009744FA"/>
    <w:rsid w:val="009A53F7"/>
    <w:rsid w:val="009B1457"/>
    <w:rsid w:val="00A540D9"/>
    <w:rsid w:val="00B141E5"/>
    <w:rsid w:val="00C750B1"/>
    <w:rsid w:val="00C95C0A"/>
    <w:rsid w:val="00CE6A9C"/>
    <w:rsid w:val="00D72B2F"/>
    <w:rsid w:val="00DE5F43"/>
    <w:rsid w:val="00EA6E3C"/>
    <w:rsid w:val="00EF2465"/>
    <w:rsid w:val="00F078D4"/>
    <w:rsid w:val="00F44EE5"/>
    <w:rsid w:val="00F53A4D"/>
    <w:rsid w:val="00F90EA9"/>
    <w:rsid w:val="00FA62A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26CB"/>
  <w15:chartTrackingRefBased/>
  <w15:docId w15:val="{A6F25DED-E999-48F7-8B59-1F57377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EB"/>
  </w:style>
  <w:style w:type="character" w:styleId="PageNumber">
    <w:name w:val="page number"/>
    <w:basedOn w:val="DefaultParagraphFont"/>
    <w:rsid w:val="007E1EEB"/>
  </w:style>
  <w:style w:type="paragraph" w:styleId="Header">
    <w:name w:val="header"/>
    <w:basedOn w:val="Normal"/>
    <w:link w:val="HeaderChar"/>
    <w:uiPriority w:val="99"/>
    <w:unhideWhenUsed/>
    <w:rsid w:val="007E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EB"/>
  </w:style>
  <w:style w:type="paragraph" w:styleId="ListParagraph">
    <w:name w:val="List Paragraph"/>
    <w:basedOn w:val="Normal"/>
    <w:uiPriority w:val="34"/>
    <w:qFormat/>
    <w:rsid w:val="007E1EEB"/>
    <w:pPr>
      <w:spacing w:after="0" w:line="276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  <w:lang w:val="ro-RO"/>
    </w:rPr>
  </w:style>
  <w:style w:type="character" w:customStyle="1" w:styleId="l5def1">
    <w:name w:val="l5def1"/>
    <w:basedOn w:val="DefaultParagraphFont"/>
    <w:rsid w:val="007E1EEB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EEB"/>
    <w:rPr>
      <w:b/>
      <w:bCs/>
      <w:sz w:val="20"/>
      <w:szCs w:val="20"/>
    </w:rPr>
  </w:style>
  <w:style w:type="character" w:customStyle="1" w:styleId="shdr">
    <w:name w:val="s_hdr"/>
    <w:basedOn w:val="DefaultParagraphFont"/>
    <w:rsid w:val="007E1EEB"/>
  </w:style>
  <w:style w:type="character" w:customStyle="1" w:styleId="spubttl">
    <w:name w:val="s_pub_ttl"/>
    <w:basedOn w:val="DefaultParagraphFont"/>
    <w:rsid w:val="00C95C0A"/>
  </w:style>
  <w:style w:type="character" w:customStyle="1" w:styleId="spubbdy">
    <w:name w:val="s_pub_bdy"/>
    <w:basedOn w:val="DefaultParagraphFont"/>
    <w:rsid w:val="00C95C0A"/>
  </w:style>
  <w:style w:type="character" w:customStyle="1" w:styleId="tpa1">
    <w:name w:val="tpa1"/>
    <w:basedOn w:val="DefaultParagraphFont"/>
    <w:rsid w:val="000D0047"/>
  </w:style>
  <w:style w:type="character" w:customStyle="1" w:styleId="al1">
    <w:name w:val="al1"/>
    <w:rsid w:val="000D0047"/>
    <w:rPr>
      <w:b/>
      <w:bCs/>
      <w:color w:val="008F00"/>
    </w:rPr>
  </w:style>
  <w:style w:type="paragraph" w:styleId="NoSpacing">
    <w:name w:val="No Spacing"/>
    <w:uiPriority w:val="1"/>
    <w:qFormat/>
    <w:rsid w:val="00F90E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1435-AE20-4978-9B4C-621CFF7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2022-01-17T12:45:00Z</dcterms:created>
  <dcterms:modified xsi:type="dcterms:W3CDTF">2022-01-17T12:45:00Z</dcterms:modified>
</cp:coreProperties>
</file>