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7585" w14:textId="77777777" w:rsidR="00262EE8" w:rsidRPr="00B769A1" w:rsidRDefault="00262EE8" w:rsidP="00262EE8">
      <w:pPr>
        <w:jc w:val="center"/>
        <w:outlineLvl w:val="0"/>
        <w:rPr>
          <w:rFonts w:ascii="Times New Roman" w:hAnsi="Times New Roman"/>
          <w:b/>
          <w:color w:val="auto"/>
          <w:sz w:val="24"/>
          <w:szCs w:val="24"/>
          <w:lang w:val="ro-RO"/>
        </w:rPr>
      </w:pPr>
      <w:r w:rsidRPr="00B769A1">
        <w:rPr>
          <w:rFonts w:ascii="Times New Roman" w:hAnsi="Times New Roman"/>
          <w:b/>
          <w:color w:val="auto"/>
          <w:sz w:val="24"/>
          <w:szCs w:val="24"/>
          <w:lang w:val="ro-RO"/>
        </w:rPr>
        <w:t>NOTĂ DE FUNDAMENTARE</w:t>
      </w:r>
    </w:p>
    <w:p w14:paraId="4CBC26D6" w14:textId="77777777" w:rsidR="00262EE8" w:rsidRPr="00B769A1" w:rsidRDefault="00262EE8" w:rsidP="00262EE8">
      <w:pPr>
        <w:rPr>
          <w:rFonts w:ascii="Times New Roman" w:hAnsi="Times New Roman"/>
          <w:color w:val="auto"/>
          <w:sz w:val="24"/>
          <w:szCs w:val="24"/>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44"/>
        <w:gridCol w:w="7877"/>
      </w:tblGrid>
      <w:tr w:rsidR="00262EE8" w:rsidRPr="00B769A1" w14:paraId="2A8B135C" w14:textId="77777777" w:rsidTr="00526537">
        <w:trPr>
          <w:trHeight w:val="500"/>
        </w:trPr>
        <w:tc>
          <w:tcPr>
            <w:tcW w:w="10560" w:type="dxa"/>
            <w:gridSpan w:val="3"/>
          </w:tcPr>
          <w:p w14:paraId="692AD06F" w14:textId="77777777" w:rsidR="00262EE8" w:rsidRPr="00B769A1" w:rsidRDefault="00262EE8" w:rsidP="00526537">
            <w:pPr>
              <w:jc w:val="both"/>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Secţiunea 1: Titlul proiectului de act normativ </w:t>
            </w:r>
          </w:p>
        </w:tc>
      </w:tr>
      <w:tr w:rsidR="00262EE8" w:rsidRPr="00B769A1" w14:paraId="544EE669" w14:textId="77777777" w:rsidTr="00526537">
        <w:trPr>
          <w:trHeight w:val="615"/>
        </w:trPr>
        <w:tc>
          <w:tcPr>
            <w:tcW w:w="10560" w:type="dxa"/>
            <w:gridSpan w:val="3"/>
          </w:tcPr>
          <w:p w14:paraId="34726C84" w14:textId="77777777" w:rsidR="00262EE8" w:rsidRPr="00B769A1" w:rsidRDefault="00262EE8" w:rsidP="00526537">
            <w:pPr>
              <w:jc w:val="center"/>
              <w:rPr>
                <w:rFonts w:ascii="Times New Roman" w:hAnsi="Times New Roman"/>
                <w:b/>
                <w:color w:val="auto"/>
                <w:sz w:val="24"/>
                <w:szCs w:val="24"/>
                <w:lang w:val="ro-RO"/>
              </w:rPr>
            </w:pPr>
            <w:r w:rsidRPr="00B769A1">
              <w:rPr>
                <w:rFonts w:ascii="Times New Roman" w:hAnsi="Times New Roman"/>
                <w:b/>
                <w:color w:val="auto"/>
                <w:sz w:val="24"/>
                <w:szCs w:val="24"/>
                <w:lang w:val="ro-RO"/>
              </w:rPr>
              <w:t>HOTĂRÂRE A GUVERNULUI</w:t>
            </w:r>
          </w:p>
          <w:p w14:paraId="24B9D15B" w14:textId="77777777" w:rsidR="00262EE8" w:rsidRPr="00913956" w:rsidRDefault="00262EE8" w:rsidP="00526537">
            <w:pPr>
              <w:jc w:val="center"/>
              <w:rPr>
                <w:rFonts w:ascii="Times New Roman" w:hAnsi="Times New Roman"/>
                <w:bCs/>
                <w:color w:val="auto"/>
                <w:sz w:val="24"/>
                <w:szCs w:val="24"/>
                <w:lang w:val="ro-RO"/>
              </w:rPr>
            </w:pPr>
            <w:bookmarkStart w:id="0" w:name="_Hlk68609889"/>
            <w:r w:rsidRPr="00913956">
              <w:rPr>
                <w:rFonts w:ascii="Times New Roman" w:hAnsi="Times New Roman"/>
                <w:bCs/>
                <w:color w:val="auto"/>
                <w:sz w:val="24"/>
                <w:szCs w:val="24"/>
                <w:lang w:val="ro-RO"/>
              </w:rPr>
              <w:t xml:space="preserve">pentru modificarea </w:t>
            </w:r>
            <w:r>
              <w:rPr>
                <w:rFonts w:ascii="Times New Roman" w:hAnsi="Times New Roman"/>
                <w:bCs/>
                <w:color w:val="auto"/>
                <w:sz w:val="24"/>
                <w:szCs w:val="24"/>
                <w:lang w:val="ro-RO"/>
              </w:rPr>
              <w:t xml:space="preserve">și completarea </w:t>
            </w:r>
            <w:r w:rsidRPr="00913956">
              <w:rPr>
                <w:rFonts w:ascii="Times New Roman" w:hAnsi="Times New Roman"/>
                <w:bCs/>
                <w:color w:val="auto"/>
                <w:sz w:val="24"/>
                <w:szCs w:val="24"/>
                <w:lang w:val="ro-RO"/>
              </w:rPr>
              <w:t xml:space="preserve"> Regulamentului privind stabilirea grupelor de terenuri care intră în perimetrele de ameliorare, funcţionarea şi atribuţiile comisiilor de specialişti, constituite pentru delimitarea perimetrelor de ameliorare, aprobat prin Hotărârea Guvernului nr. 1257/2011</w:t>
            </w:r>
          </w:p>
          <w:bookmarkEnd w:id="0"/>
          <w:p w14:paraId="07A15BE4" w14:textId="77777777" w:rsidR="00262EE8" w:rsidRPr="00B769A1" w:rsidRDefault="00262EE8" w:rsidP="00526537">
            <w:pPr>
              <w:jc w:val="center"/>
              <w:rPr>
                <w:rFonts w:ascii="Times New Roman" w:hAnsi="Times New Roman"/>
                <w:b/>
                <w:color w:val="auto"/>
                <w:sz w:val="24"/>
                <w:szCs w:val="24"/>
                <w:lang w:val="ro-RO"/>
              </w:rPr>
            </w:pPr>
          </w:p>
        </w:tc>
      </w:tr>
      <w:tr w:rsidR="00262EE8" w:rsidRPr="00B769A1" w14:paraId="3EE3672D" w14:textId="77777777" w:rsidTr="00526537">
        <w:trPr>
          <w:trHeight w:val="503"/>
        </w:trPr>
        <w:tc>
          <w:tcPr>
            <w:tcW w:w="10560" w:type="dxa"/>
            <w:gridSpan w:val="3"/>
          </w:tcPr>
          <w:p w14:paraId="71EA26E7" w14:textId="77777777" w:rsidR="00262EE8" w:rsidRPr="00B769A1" w:rsidRDefault="00262EE8" w:rsidP="00526537">
            <w:pPr>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2-a: Motivul emiterii actului normativ</w:t>
            </w:r>
          </w:p>
        </w:tc>
      </w:tr>
      <w:tr w:rsidR="00262EE8" w:rsidRPr="00B769A1" w14:paraId="4BE060B5" w14:textId="77777777" w:rsidTr="00526537">
        <w:trPr>
          <w:trHeight w:val="503"/>
        </w:trPr>
        <w:tc>
          <w:tcPr>
            <w:tcW w:w="2683" w:type="dxa"/>
            <w:gridSpan w:val="2"/>
          </w:tcPr>
          <w:p w14:paraId="34F9FB8C" w14:textId="77777777" w:rsidR="00262EE8" w:rsidRPr="00B769A1" w:rsidRDefault="00262EE8" w:rsidP="00526537">
            <w:pPr>
              <w:rPr>
                <w:rFonts w:ascii="Times New Roman" w:hAnsi="Times New Roman"/>
                <w:b/>
                <w:color w:val="auto"/>
                <w:sz w:val="24"/>
                <w:szCs w:val="24"/>
                <w:lang w:val="ro-RO"/>
              </w:rPr>
            </w:pPr>
            <w:r w:rsidRPr="00B769A1">
              <w:rPr>
                <w:rFonts w:ascii="Times New Roman" w:hAnsi="Times New Roman"/>
                <w:color w:val="auto"/>
                <w:sz w:val="24"/>
                <w:szCs w:val="24"/>
                <w:lang w:val="ro-RO"/>
              </w:rPr>
              <w:t>1. Descrierea situaţiei actuale</w:t>
            </w:r>
          </w:p>
        </w:tc>
        <w:tc>
          <w:tcPr>
            <w:tcW w:w="7877" w:type="dxa"/>
          </w:tcPr>
          <w:p w14:paraId="7533E74C"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w:t>
            </w:r>
            <w:r w:rsidRPr="00C32CE6">
              <w:rPr>
                <w:rFonts w:ascii="Times New Roman" w:hAnsi="Times New Roman"/>
                <w:bCs/>
                <w:color w:val="auto"/>
                <w:sz w:val="24"/>
                <w:szCs w:val="24"/>
                <w:lang w:val="ro-RO"/>
              </w:rPr>
              <w:t>Dezvoltarea fondului forestier național și extinderea suprafețelor de pădure constituie o obligație a autorității publice centrale care răspunde de silvicultură și o prioritate națională, în vederea asigurării echilibrului ecologic la nivel local, național și global</w:t>
            </w:r>
            <w:r>
              <w:rPr>
                <w:rFonts w:ascii="Times New Roman" w:hAnsi="Times New Roman"/>
                <w:bCs/>
                <w:color w:val="auto"/>
                <w:sz w:val="24"/>
                <w:szCs w:val="24"/>
                <w:lang w:val="ro-RO"/>
              </w:rPr>
              <w:t>.</w:t>
            </w:r>
          </w:p>
          <w:p w14:paraId="633D4CB6"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E</w:t>
            </w:r>
            <w:r w:rsidRPr="00124BEA">
              <w:rPr>
                <w:rFonts w:ascii="Times New Roman" w:hAnsi="Times New Roman"/>
                <w:bCs/>
                <w:color w:val="auto"/>
                <w:sz w:val="24"/>
                <w:szCs w:val="24"/>
                <w:lang w:val="ro-RO"/>
              </w:rPr>
              <w:t xml:space="preserve">xtinderea suprafețelor de pădure </w:t>
            </w:r>
            <w:r>
              <w:rPr>
                <w:rFonts w:ascii="Times New Roman" w:hAnsi="Times New Roman"/>
                <w:bCs/>
                <w:color w:val="auto"/>
                <w:sz w:val="24"/>
                <w:szCs w:val="24"/>
                <w:lang w:val="ro-RO"/>
              </w:rPr>
              <w:t>se r</w:t>
            </w:r>
            <w:r w:rsidRPr="00C32CE6">
              <w:rPr>
                <w:rFonts w:ascii="Times New Roman" w:hAnsi="Times New Roman"/>
                <w:bCs/>
                <w:color w:val="auto"/>
                <w:sz w:val="24"/>
                <w:szCs w:val="24"/>
                <w:lang w:val="ro-RO"/>
              </w:rPr>
              <w:t>ealiz</w:t>
            </w:r>
            <w:r>
              <w:rPr>
                <w:rFonts w:ascii="Times New Roman" w:hAnsi="Times New Roman"/>
                <w:bCs/>
                <w:color w:val="auto"/>
                <w:sz w:val="24"/>
                <w:szCs w:val="24"/>
                <w:lang w:val="ro-RO"/>
              </w:rPr>
              <w:t>ează</w:t>
            </w:r>
            <w:r w:rsidRPr="00C32CE6">
              <w:rPr>
                <w:rFonts w:ascii="Times New Roman" w:hAnsi="Times New Roman"/>
                <w:bCs/>
                <w:color w:val="auto"/>
                <w:sz w:val="24"/>
                <w:szCs w:val="24"/>
                <w:lang w:val="ro-RO"/>
              </w:rPr>
              <w:t xml:space="preserve"> prin lucrări de împădurire a terenurilor din afara fondului forestier național și a terenurilor cu destinație agricolă, în vederea îmbunătățirii condițiilor de mediu și a optimizării peisajului, a asigurării și creșterii recoltelor agricole, a prevenirii și combaterii eroziunii solului, a protejării căilor de comunicație, a digurilor și a malurilor, a localităților și a obiectivelor economice, sociale și strategice, urmărindu-se împădurirea unor terenuri cu altă destinație decât cea silvic</w:t>
            </w:r>
            <w:r>
              <w:rPr>
                <w:rFonts w:ascii="Times New Roman" w:hAnsi="Times New Roman"/>
                <w:bCs/>
                <w:color w:val="auto"/>
                <w:sz w:val="24"/>
                <w:szCs w:val="24"/>
                <w:lang w:val="ro-RO"/>
              </w:rPr>
              <w:t>.</w:t>
            </w:r>
          </w:p>
          <w:p w14:paraId="41B4D6EE" w14:textId="77777777" w:rsidR="00262EE8" w:rsidRPr="00C32CE6"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w:t>
            </w:r>
            <w:r w:rsidRPr="00C32CE6">
              <w:rPr>
                <w:rFonts w:ascii="Times New Roman" w:hAnsi="Times New Roman"/>
                <w:bCs/>
                <w:color w:val="auto"/>
                <w:sz w:val="24"/>
                <w:szCs w:val="24"/>
                <w:lang w:val="ro-RO"/>
              </w:rPr>
              <w:t xml:space="preserve">Potrivit unor studii realizate de Institutul Naţional de Cercetare – Dezvoltare pentru Pedologie, Agrochimie şi Protecţia Mediului, la nivel naţional sunt estimate 2.170 mii ha terenuri degradate, cele mai multe fiind situate în zonele de deal şi de munte. Suprafeţe mari de terenuri degradate se găsesc în Podişul Getic, Subcarpaţii Munteniei, Podişul Someşan, Podişul Transilvaniei, Subcarpaţii Moldovei, Câmpia şi Podişul Moldovei, Dobrogea.      </w:t>
            </w:r>
          </w:p>
          <w:p w14:paraId="51A6491E" w14:textId="77777777" w:rsidR="00262EE8" w:rsidRDefault="00262EE8" w:rsidP="00526537">
            <w:pPr>
              <w:jc w:val="both"/>
              <w:rPr>
                <w:rFonts w:ascii="Times New Roman" w:hAnsi="Times New Roman"/>
                <w:bCs/>
                <w:color w:val="auto"/>
                <w:sz w:val="24"/>
                <w:szCs w:val="24"/>
                <w:lang w:val="ro-RO"/>
              </w:rPr>
            </w:pPr>
            <w:r w:rsidRPr="00C32CE6">
              <w:rPr>
                <w:rFonts w:ascii="Times New Roman" w:hAnsi="Times New Roman"/>
                <w:bCs/>
                <w:color w:val="auto"/>
                <w:sz w:val="24"/>
                <w:szCs w:val="24"/>
                <w:lang w:val="ro-RO"/>
              </w:rPr>
              <w:t xml:space="preserve">      Una din principalele funcţii ale pădurii o reprezintă protecţia solului împotriva eroziunii, îmbunătăţirea bilanţului hidric şi asigurarea purităţii apelor, aerului, ameliorarea factorilor climatici, reprezentând totodată o sursă de materii prime pentru nevoile populaţiei şi economiei naţionale.</w:t>
            </w:r>
          </w:p>
          <w:p w14:paraId="734FE9DF" w14:textId="77777777" w:rsidR="00262EE8" w:rsidRPr="00C32CE6" w:rsidRDefault="00262EE8" w:rsidP="00526537">
            <w:pPr>
              <w:jc w:val="both"/>
              <w:rPr>
                <w:rFonts w:ascii="Times New Roman" w:hAnsi="Times New Roman"/>
                <w:bCs/>
                <w:color w:val="auto"/>
                <w:sz w:val="24"/>
                <w:szCs w:val="24"/>
                <w:lang w:val="ro-RO"/>
              </w:rPr>
            </w:pPr>
            <w:r w:rsidRPr="00C32CE6">
              <w:rPr>
                <w:rFonts w:ascii="Times New Roman" w:hAnsi="Times New Roman"/>
                <w:bCs/>
                <w:color w:val="auto"/>
                <w:sz w:val="24"/>
                <w:szCs w:val="24"/>
                <w:lang w:val="ro-RO"/>
              </w:rPr>
              <w:t xml:space="preserve">      Între pădure şi sol este o intercondiţionare reciprocă, prin rădăcinile sale pădurea contribuie la dezagregarea rocilor, la formarea solurilor, întreţinerea umidităţii şi îmbunătăţirea structurii edafice. Pădurile protejează stâncăriile, terenurile cu alunecare şi eroziune de adâncime, grohotişurile, nisipurile mobile, terenurile predispuse la avalanşe şi înmlăştinări, zonele de stepă şi silvostepă, terenurile de la mare altitudine, cu condiţii extreme de vegetaţie sau expuse poluării industriale.</w:t>
            </w:r>
          </w:p>
          <w:p w14:paraId="5BCC1861" w14:textId="77777777" w:rsidR="00262EE8" w:rsidRPr="00C32CE6" w:rsidRDefault="00262EE8" w:rsidP="00526537">
            <w:pPr>
              <w:jc w:val="both"/>
              <w:rPr>
                <w:rFonts w:ascii="Times New Roman" w:hAnsi="Times New Roman"/>
                <w:bCs/>
                <w:color w:val="auto"/>
                <w:sz w:val="24"/>
                <w:szCs w:val="24"/>
                <w:lang w:val="ro-RO"/>
              </w:rPr>
            </w:pPr>
            <w:r w:rsidRPr="00C32CE6">
              <w:rPr>
                <w:rFonts w:ascii="Times New Roman" w:hAnsi="Times New Roman"/>
                <w:bCs/>
                <w:color w:val="auto"/>
                <w:sz w:val="24"/>
                <w:szCs w:val="24"/>
                <w:lang w:val="ro-RO"/>
              </w:rPr>
              <w:t xml:space="preserve">      Ecosistemele forestiere instalate pe terenuri degradate sunt în cea mai mare parte artificiale, de tip provizoriu sau tranzitoriu către ecosistemele zonale, având ca principal obiectiv oprirea proceselor de degradare a terenului şi ameliorarea condiţiilor staţionale. </w:t>
            </w:r>
          </w:p>
          <w:p w14:paraId="3FD0318E" w14:textId="77777777" w:rsidR="00262EE8" w:rsidRDefault="00262EE8" w:rsidP="00526537">
            <w:pPr>
              <w:jc w:val="both"/>
              <w:rPr>
                <w:rFonts w:ascii="Times New Roman" w:hAnsi="Times New Roman"/>
                <w:bCs/>
                <w:color w:val="auto"/>
                <w:sz w:val="24"/>
                <w:szCs w:val="24"/>
                <w:lang w:val="ro-RO"/>
              </w:rPr>
            </w:pPr>
            <w:r w:rsidRPr="00C32CE6">
              <w:rPr>
                <w:rFonts w:ascii="Times New Roman" w:hAnsi="Times New Roman"/>
                <w:bCs/>
                <w:color w:val="auto"/>
                <w:sz w:val="24"/>
                <w:szCs w:val="24"/>
                <w:lang w:val="ro-RO"/>
              </w:rPr>
              <w:t xml:space="preserve"> </w:t>
            </w:r>
            <w:r>
              <w:rPr>
                <w:rFonts w:ascii="Times New Roman" w:hAnsi="Times New Roman"/>
                <w:bCs/>
                <w:color w:val="auto"/>
                <w:sz w:val="24"/>
                <w:szCs w:val="24"/>
                <w:lang w:val="ro-RO"/>
              </w:rPr>
              <w:t xml:space="preserve">    </w:t>
            </w:r>
            <w:r w:rsidRPr="00C32CE6">
              <w:rPr>
                <w:rFonts w:ascii="Times New Roman" w:hAnsi="Times New Roman"/>
                <w:bCs/>
                <w:color w:val="auto"/>
                <w:sz w:val="24"/>
                <w:szCs w:val="24"/>
                <w:lang w:val="ro-RO"/>
              </w:rPr>
              <w:t>În vederea diminuării acţiunii factorilor climatici nefavorabili şi a degradării de orice natură a solului, autoritatea publică centrală care răspunde de silvicultură a acţionat, şi acţionează în continuare pentru identificarea şi delimitarea  de terenuri care prin degradare şi poluare şi-au pierdut, total sau parţial, capacitatea de producţie pentru culturi agricole sau silvice, în vederea ameliorării acestora prin împădurire.</w:t>
            </w:r>
          </w:p>
          <w:p w14:paraId="3109F924" w14:textId="77777777" w:rsidR="00262EE8" w:rsidRPr="00D6482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w:t>
            </w:r>
            <w:r w:rsidRPr="00D64828">
              <w:rPr>
                <w:rFonts w:ascii="Times New Roman" w:hAnsi="Times New Roman"/>
                <w:bCs/>
                <w:color w:val="auto"/>
                <w:sz w:val="24"/>
                <w:szCs w:val="24"/>
                <w:lang w:val="ro-RO"/>
              </w:rPr>
              <w:t>Această acţiune a avut şi are în vedere două categorii de deţinători ai terenurilor :</w:t>
            </w:r>
          </w:p>
          <w:p w14:paraId="66A7AAC6" w14:textId="77777777" w:rsidR="00262EE8" w:rsidRPr="00D64828" w:rsidRDefault="00262EE8" w:rsidP="00526537">
            <w:pPr>
              <w:jc w:val="both"/>
              <w:rPr>
                <w:rFonts w:ascii="Times New Roman" w:hAnsi="Times New Roman"/>
                <w:bCs/>
                <w:color w:val="auto"/>
                <w:sz w:val="24"/>
                <w:szCs w:val="24"/>
                <w:lang w:val="ro-RO"/>
              </w:rPr>
            </w:pPr>
            <w:r w:rsidRPr="00D64828">
              <w:rPr>
                <w:rFonts w:ascii="Times New Roman" w:hAnsi="Times New Roman"/>
                <w:bCs/>
                <w:color w:val="auto"/>
                <w:sz w:val="24"/>
                <w:szCs w:val="24"/>
                <w:lang w:val="ro-RO"/>
              </w:rPr>
              <w:tab/>
              <w:t xml:space="preserve">1. Identificarea terenurilor care prin degradare şi poluare şi-au pierdut, total sau parţial, capacitatea de producţie pentru culturi agricole, aflate în </w:t>
            </w:r>
            <w:r w:rsidRPr="00D64828">
              <w:rPr>
                <w:rFonts w:ascii="Times New Roman" w:hAnsi="Times New Roman"/>
                <w:bCs/>
                <w:color w:val="auto"/>
                <w:sz w:val="24"/>
                <w:szCs w:val="24"/>
                <w:lang w:val="ro-RO"/>
              </w:rPr>
              <w:lastRenderedPageBreak/>
              <w:t>administrarea Agenţiei Domeniilor Statului şi trecerea acestora în administrarea Regiei Naţionale a Pădurilor – Romsilva, în vederea împăduririi;</w:t>
            </w:r>
          </w:p>
          <w:p w14:paraId="494F5FD2" w14:textId="77777777" w:rsidR="00262EE8" w:rsidRDefault="00262EE8" w:rsidP="00526537">
            <w:pPr>
              <w:jc w:val="both"/>
              <w:rPr>
                <w:rFonts w:ascii="Times New Roman" w:hAnsi="Times New Roman"/>
                <w:bCs/>
                <w:color w:val="auto"/>
                <w:sz w:val="24"/>
                <w:szCs w:val="24"/>
                <w:lang w:val="ro-RO"/>
              </w:rPr>
            </w:pPr>
            <w:r w:rsidRPr="00D64828">
              <w:rPr>
                <w:rFonts w:ascii="Times New Roman" w:hAnsi="Times New Roman"/>
                <w:bCs/>
                <w:color w:val="auto"/>
                <w:sz w:val="24"/>
                <w:szCs w:val="24"/>
                <w:lang w:val="ro-RO"/>
              </w:rPr>
              <w:tab/>
              <w:t>2. Identificarea terenurilor care prin degradare şi poluare şi-au pierdut, total sau parţial, capacitatea de producţie pentru culturi agricole, aflate în proprietatea unităţilor administrativ – teritoriale şi a persoanelor fizice, în vederea împăduririi</w:t>
            </w:r>
            <w:r>
              <w:rPr>
                <w:rFonts w:ascii="Times New Roman" w:hAnsi="Times New Roman"/>
                <w:bCs/>
                <w:color w:val="auto"/>
                <w:sz w:val="24"/>
                <w:szCs w:val="24"/>
                <w:lang w:val="ro-RO"/>
              </w:rPr>
              <w:t>.</w:t>
            </w:r>
          </w:p>
          <w:p w14:paraId="051BD8BB"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w:t>
            </w:r>
            <w:r w:rsidRPr="00D64828">
              <w:rPr>
                <w:rFonts w:ascii="Times New Roman" w:hAnsi="Times New Roman"/>
                <w:bCs/>
                <w:color w:val="auto"/>
                <w:sz w:val="24"/>
                <w:szCs w:val="24"/>
                <w:lang w:val="ro-RO"/>
              </w:rPr>
              <w:t xml:space="preserve">Regulamentul privind stabilirea grupelor de terenuri care intră în perimetrele de ameliorare, funcţionarea şi atribuţiile comisiilor de specialişti, constituite pentru delimitarea perimetrelor de ameliorare, </w:t>
            </w:r>
            <w:r>
              <w:rPr>
                <w:rFonts w:ascii="Times New Roman" w:hAnsi="Times New Roman"/>
                <w:bCs/>
                <w:color w:val="auto"/>
                <w:sz w:val="24"/>
                <w:szCs w:val="24"/>
                <w:lang w:val="ro-RO"/>
              </w:rPr>
              <w:t xml:space="preserve">a fost </w:t>
            </w:r>
            <w:r w:rsidRPr="00D64828">
              <w:rPr>
                <w:rFonts w:ascii="Times New Roman" w:hAnsi="Times New Roman"/>
                <w:bCs/>
                <w:color w:val="auto"/>
                <w:sz w:val="24"/>
                <w:szCs w:val="24"/>
                <w:lang w:val="ro-RO"/>
              </w:rPr>
              <w:t>aprobat prin Hotărârea Guvernului nr. 1257/2011</w:t>
            </w:r>
            <w:r>
              <w:rPr>
                <w:rFonts w:ascii="Times New Roman" w:hAnsi="Times New Roman"/>
                <w:bCs/>
                <w:color w:val="auto"/>
                <w:sz w:val="24"/>
                <w:szCs w:val="24"/>
                <w:lang w:val="ro-RO"/>
              </w:rPr>
              <w:t>.</w:t>
            </w:r>
          </w:p>
          <w:p w14:paraId="18561E75"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În ultima perioadă acțiunile de identificare și delimitare a terenurilor degradate devenite inapte pentru agricultură, dar care pot fi ameliorate prin împădurire, desfășurate de comisile de specialiști de la nivelul unităților administrativ-teritoriale au fost blocate datorită următoarelor situații:</w:t>
            </w:r>
          </w:p>
          <w:p w14:paraId="3ADB1B89"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-lipsa dezbaterilor succesorale;</w:t>
            </w:r>
          </w:p>
          <w:p w14:paraId="02BC36FB"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-moștenitori care sunt plecați din localitate sau din țară, iar terenurile respective sunt utilizate/deținute de către moștenitorii prezenți în localitate;</w:t>
            </w:r>
          </w:p>
          <w:p w14:paraId="0995F75B"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-documente de proprietate emise pe numele mai multor persoane (moștenitori ai unor autori) care nu au ieșit din indiviziune și terenurile sunt utilizate/deținute doar de cei aflați în localitate;</w:t>
            </w:r>
          </w:p>
          <w:p w14:paraId="593F0C11" w14:textId="77777777" w:rsidR="00262EE8"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-realizarea cadastrului sistematic la nivelul unităților administrativ-teritoriale, prin care s-au eliberat cărți funciare pe numele autorilor, neexistând dezbateri succesoarale iar terenurile sunt utilizate de către o parte din succesori.</w:t>
            </w:r>
          </w:p>
          <w:p w14:paraId="62BEC6E0" w14:textId="77777777" w:rsidR="00262EE8" w:rsidRPr="00B769A1" w:rsidRDefault="00262EE8" w:rsidP="00526537">
            <w:pPr>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În vederea deblocării acestei situații se impune modificarea Regulamentului aprobat prin Hotărârea Guvernului nr.1257/2011, </w:t>
            </w:r>
            <w:r w:rsidRPr="00A72A49">
              <w:rPr>
                <w:rFonts w:ascii="Times New Roman" w:hAnsi="Times New Roman"/>
                <w:bCs/>
                <w:color w:val="auto"/>
                <w:sz w:val="24"/>
                <w:szCs w:val="24"/>
                <w:lang w:val="ro-RO"/>
              </w:rPr>
              <w:t xml:space="preserve">acordul pentru împădurirea terenului să poată să fie exprimat și de către utilizatorul/deținătorul acestuia în cazul în care proprietarul este decedat sau de către cel puțin unul dintre proprietarii aflați în indiviziune.       </w:t>
            </w:r>
            <w:r>
              <w:rPr>
                <w:rFonts w:ascii="Times New Roman" w:hAnsi="Times New Roman"/>
                <w:bCs/>
                <w:color w:val="auto"/>
                <w:sz w:val="24"/>
                <w:szCs w:val="24"/>
                <w:lang w:val="ro-RO"/>
              </w:rPr>
              <w:t xml:space="preserve"> </w:t>
            </w:r>
          </w:p>
        </w:tc>
      </w:tr>
      <w:tr w:rsidR="00262EE8" w:rsidRPr="00B769A1" w14:paraId="7D664606" w14:textId="77777777" w:rsidTr="00526537">
        <w:tc>
          <w:tcPr>
            <w:tcW w:w="2683" w:type="dxa"/>
            <w:gridSpan w:val="2"/>
          </w:tcPr>
          <w:p w14:paraId="79EAD7B7"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2. Schimbări preconizate</w:t>
            </w:r>
          </w:p>
        </w:tc>
        <w:tc>
          <w:tcPr>
            <w:tcW w:w="7877" w:type="dxa"/>
          </w:tcPr>
          <w:p w14:paraId="41629120" w14:textId="77777777" w:rsidR="00262EE8" w:rsidRPr="00B769A1" w:rsidRDefault="00262EE8" w:rsidP="00526537">
            <w:pPr>
              <w:jc w:val="both"/>
              <w:rPr>
                <w:rFonts w:ascii="Times New Roman" w:hAnsi="Times New Roman"/>
                <w:color w:val="auto"/>
                <w:sz w:val="24"/>
                <w:szCs w:val="24"/>
                <w:lang w:val="ro-RO"/>
              </w:rPr>
            </w:pPr>
            <w:r w:rsidRPr="00D64828">
              <w:rPr>
                <w:rFonts w:ascii="Times New Roman" w:hAnsi="Times New Roman"/>
                <w:color w:val="auto"/>
                <w:sz w:val="24"/>
                <w:szCs w:val="24"/>
                <w:lang w:val="ro-RO"/>
              </w:rPr>
              <w:t xml:space="preserve">    Prin prezentul proiect de act normativ se are în vedere</w:t>
            </w:r>
            <w:r>
              <w:rPr>
                <w:rFonts w:ascii="Times New Roman" w:hAnsi="Times New Roman"/>
                <w:color w:val="auto"/>
                <w:sz w:val="24"/>
                <w:szCs w:val="24"/>
                <w:lang w:val="ro-RO"/>
              </w:rPr>
              <w:t xml:space="preserve"> modificarea și completarea </w:t>
            </w:r>
            <w:r w:rsidRPr="005C30EB">
              <w:rPr>
                <w:rFonts w:ascii="Times New Roman" w:hAnsi="Times New Roman"/>
                <w:color w:val="auto"/>
                <w:sz w:val="24"/>
                <w:szCs w:val="24"/>
                <w:lang w:val="ro-RO"/>
              </w:rPr>
              <w:t>Regulamentului aprobat prin Hotărârea Guvernului nr.1257/2011,</w:t>
            </w:r>
            <w:r>
              <w:rPr>
                <w:rFonts w:ascii="Times New Roman" w:hAnsi="Times New Roman"/>
                <w:color w:val="auto"/>
                <w:sz w:val="24"/>
                <w:szCs w:val="24"/>
                <w:lang w:val="ro-RO"/>
              </w:rPr>
              <w:t xml:space="preserve"> astfel ca pentru ameliorarea terenurilor degradate, identificate și delimitate de către comisiile de  specialitate constituite la nivelul unităților administrav-teritoriale, acordul pentru împădurirea terenului să poată să fie exprimat și de către utilizatorul/deținătorul acestuia în cazul în care proprietarul este decedat sau de către cel puțin unul dintre proprietarii aflați în indiviziune.</w:t>
            </w:r>
            <w:r w:rsidRPr="00D64828">
              <w:rPr>
                <w:rFonts w:ascii="Times New Roman" w:hAnsi="Times New Roman"/>
                <w:color w:val="auto"/>
                <w:sz w:val="24"/>
                <w:szCs w:val="24"/>
                <w:lang w:val="ro-RO"/>
              </w:rPr>
              <w:t xml:space="preserve">       </w:t>
            </w:r>
          </w:p>
        </w:tc>
      </w:tr>
      <w:tr w:rsidR="00262EE8" w:rsidRPr="00B769A1" w14:paraId="6B384EB3" w14:textId="77777777" w:rsidTr="00526537">
        <w:tc>
          <w:tcPr>
            <w:tcW w:w="2683" w:type="dxa"/>
            <w:gridSpan w:val="2"/>
          </w:tcPr>
          <w:p w14:paraId="5799465F"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3. Alte informaţii</w:t>
            </w:r>
          </w:p>
        </w:tc>
        <w:tc>
          <w:tcPr>
            <w:tcW w:w="7877" w:type="dxa"/>
          </w:tcPr>
          <w:p w14:paraId="2E2D7D75" w14:textId="77777777" w:rsidR="00262EE8"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p w14:paraId="2232CE44" w14:textId="77777777" w:rsidR="00262EE8" w:rsidRDefault="00262EE8" w:rsidP="00526537">
            <w:pPr>
              <w:jc w:val="both"/>
              <w:rPr>
                <w:rFonts w:ascii="Times New Roman" w:hAnsi="Times New Roman"/>
                <w:color w:val="auto"/>
                <w:sz w:val="24"/>
                <w:szCs w:val="24"/>
                <w:lang w:val="ro-RO"/>
              </w:rPr>
            </w:pPr>
          </w:p>
          <w:p w14:paraId="121FDB9A" w14:textId="77777777" w:rsidR="00262EE8" w:rsidRPr="00B769A1" w:rsidRDefault="00262EE8" w:rsidP="00526537">
            <w:pPr>
              <w:jc w:val="both"/>
              <w:rPr>
                <w:rFonts w:ascii="Times New Roman" w:hAnsi="Times New Roman"/>
                <w:color w:val="auto"/>
                <w:sz w:val="24"/>
                <w:szCs w:val="24"/>
                <w:lang w:val="ro-RO"/>
              </w:rPr>
            </w:pPr>
          </w:p>
        </w:tc>
      </w:tr>
      <w:tr w:rsidR="00262EE8" w:rsidRPr="00B769A1" w14:paraId="551D8902" w14:textId="77777777" w:rsidTr="00526537">
        <w:trPr>
          <w:trHeight w:val="493"/>
        </w:trPr>
        <w:tc>
          <w:tcPr>
            <w:tcW w:w="10560" w:type="dxa"/>
            <w:gridSpan w:val="3"/>
          </w:tcPr>
          <w:p w14:paraId="6A302C39" w14:textId="77777777" w:rsidR="00262EE8" w:rsidRPr="00B769A1" w:rsidRDefault="00262EE8" w:rsidP="00526537">
            <w:pPr>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3-a: Impactul socio-economic al proiectului de act normativ</w:t>
            </w:r>
          </w:p>
        </w:tc>
      </w:tr>
      <w:tr w:rsidR="00262EE8" w:rsidRPr="00B769A1" w14:paraId="0B8AABD5" w14:textId="77777777" w:rsidTr="00526537">
        <w:tc>
          <w:tcPr>
            <w:tcW w:w="2639" w:type="dxa"/>
          </w:tcPr>
          <w:p w14:paraId="691DE6B1"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1. Impactul macroeconomic</w:t>
            </w:r>
          </w:p>
        </w:tc>
        <w:tc>
          <w:tcPr>
            <w:tcW w:w="7921" w:type="dxa"/>
            <w:gridSpan w:val="2"/>
          </w:tcPr>
          <w:p w14:paraId="3B2813C1"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nu </w:t>
            </w:r>
            <w:r>
              <w:rPr>
                <w:rFonts w:ascii="Times New Roman" w:hAnsi="Times New Roman"/>
                <w:color w:val="auto"/>
                <w:sz w:val="24"/>
                <w:szCs w:val="24"/>
                <w:lang w:val="ro-RO"/>
              </w:rPr>
              <w:t>se referă la acest subiect</w:t>
            </w:r>
            <w:r w:rsidRPr="00B769A1">
              <w:rPr>
                <w:rFonts w:ascii="Times New Roman" w:hAnsi="Times New Roman"/>
                <w:color w:val="auto"/>
                <w:sz w:val="24"/>
                <w:szCs w:val="24"/>
                <w:lang w:val="ro-RO"/>
              </w:rPr>
              <w:t xml:space="preserve"> </w:t>
            </w:r>
          </w:p>
        </w:tc>
      </w:tr>
    </w:tbl>
    <w:p w14:paraId="61EEC040" w14:textId="77777777" w:rsidR="00262EE8" w:rsidRPr="00B769A1" w:rsidRDefault="00262EE8" w:rsidP="00262EE8">
      <w:pPr>
        <w:rPr>
          <w:color w:val="aut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1839"/>
        <w:gridCol w:w="900"/>
        <w:gridCol w:w="20"/>
        <w:gridCol w:w="15"/>
        <w:gridCol w:w="992"/>
        <w:gridCol w:w="996"/>
        <w:gridCol w:w="23"/>
        <w:gridCol w:w="971"/>
        <w:gridCol w:w="992"/>
        <w:gridCol w:w="1173"/>
      </w:tblGrid>
      <w:tr w:rsidR="00262EE8" w:rsidRPr="00B769A1" w14:paraId="0D70E9D6" w14:textId="77777777" w:rsidTr="00526537">
        <w:trPr>
          <w:trHeight w:val="1266"/>
        </w:trPr>
        <w:tc>
          <w:tcPr>
            <w:tcW w:w="2639" w:type="dxa"/>
          </w:tcPr>
          <w:p w14:paraId="1F524818"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1</w:t>
            </w:r>
            <w:r w:rsidRPr="00B769A1">
              <w:rPr>
                <w:rFonts w:ascii="Times New Roman" w:hAnsi="Times New Roman"/>
                <w:color w:val="auto"/>
                <w:sz w:val="24"/>
                <w:szCs w:val="24"/>
                <w:vertAlign w:val="superscript"/>
                <w:lang w:val="ro-RO"/>
              </w:rPr>
              <w:t>1</w:t>
            </w:r>
            <w:r w:rsidRPr="00B769A1">
              <w:rPr>
                <w:rFonts w:ascii="Times New Roman" w:hAnsi="Times New Roman"/>
                <w:color w:val="auto"/>
                <w:sz w:val="24"/>
                <w:szCs w:val="24"/>
                <w:lang w:val="ro-RO"/>
              </w:rPr>
              <w:t>. Impactul asupra mediului concurenţial şi domeniului ajutoarelor de stat</w:t>
            </w:r>
          </w:p>
        </w:tc>
        <w:tc>
          <w:tcPr>
            <w:tcW w:w="7921" w:type="dxa"/>
            <w:gridSpan w:val="10"/>
          </w:tcPr>
          <w:p w14:paraId="32A48953" w14:textId="77777777" w:rsidR="00262EE8" w:rsidRDefault="00262EE8" w:rsidP="00526537">
            <w:pPr>
              <w:jc w:val="both"/>
              <w:rPr>
                <w:rFonts w:ascii="Times New Roman" w:hAnsi="Times New Roman"/>
                <w:color w:val="auto"/>
                <w:sz w:val="24"/>
                <w:szCs w:val="24"/>
                <w:lang w:val="ro-RO"/>
              </w:rPr>
            </w:pPr>
          </w:p>
          <w:p w14:paraId="6D350F5D" w14:textId="77777777" w:rsidR="00262EE8" w:rsidRDefault="00262EE8" w:rsidP="00526537">
            <w:pPr>
              <w:jc w:val="both"/>
              <w:rPr>
                <w:rFonts w:ascii="Times New Roman" w:hAnsi="Times New Roman"/>
                <w:color w:val="auto"/>
                <w:sz w:val="24"/>
                <w:szCs w:val="24"/>
                <w:lang w:val="ro-RO"/>
              </w:rPr>
            </w:pPr>
            <w:r w:rsidRPr="003A3825">
              <w:rPr>
                <w:rFonts w:ascii="Times New Roman" w:hAnsi="Times New Roman"/>
                <w:color w:val="auto"/>
                <w:sz w:val="24"/>
                <w:szCs w:val="24"/>
                <w:lang w:val="ro-RO"/>
              </w:rPr>
              <w:t xml:space="preserve">Proiectul de act normativ nu </w:t>
            </w:r>
            <w:r>
              <w:rPr>
                <w:rFonts w:ascii="Times New Roman" w:hAnsi="Times New Roman"/>
                <w:color w:val="auto"/>
                <w:sz w:val="24"/>
                <w:szCs w:val="24"/>
                <w:lang w:val="ro-RO"/>
              </w:rPr>
              <w:t>se referă la acest subiect</w:t>
            </w:r>
          </w:p>
          <w:p w14:paraId="279B574D" w14:textId="77777777" w:rsidR="00262EE8" w:rsidRPr="00B769A1" w:rsidRDefault="00262EE8" w:rsidP="00526537">
            <w:pPr>
              <w:jc w:val="both"/>
              <w:rPr>
                <w:rFonts w:ascii="Times New Roman" w:hAnsi="Times New Roman"/>
                <w:color w:val="auto"/>
                <w:sz w:val="24"/>
                <w:szCs w:val="24"/>
                <w:lang w:val="ro-RO"/>
              </w:rPr>
            </w:pPr>
          </w:p>
        </w:tc>
      </w:tr>
      <w:tr w:rsidR="00262EE8" w:rsidRPr="00B769A1" w14:paraId="1B9F6DC4" w14:textId="77777777" w:rsidTr="00526537">
        <w:tc>
          <w:tcPr>
            <w:tcW w:w="2639" w:type="dxa"/>
          </w:tcPr>
          <w:p w14:paraId="3FC76772"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2. Impactul asupra mediului de afaceri</w:t>
            </w:r>
          </w:p>
          <w:p w14:paraId="5FD85CCD" w14:textId="77777777" w:rsidR="00262EE8" w:rsidRPr="00B769A1" w:rsidRDefault="00262EE8" w:rsidP="00526537">
            <w:pPr>
              <w:rPr>
                <w:rFonts w:ascii="Times New Roman" w:hAnsi="Times New Roman"/>
                <w:color w:val="auto"/>
                <w:sz w:val="24"/>
                <w:szCs w:val="24"/>
                <w:lang w:val="ro-RO"/>
              </w:rPr>
            </w:pPr>
          </w:p>
          <w:p w14:paraId="0A6CFCE4" w14:textId="77777777" w:rsidR="00262EE8" w:rsidRPr="00B769A1" w:rsidRDefault="00262EE8" w:rsidP="00526537">
            <w:pPr>
              <w:rPr>
                <w:rFonts w:ascii="Times New Roman" w:hAnsi="Times New Roman"/>
                <w:color w:val="auto"/>
                <w:sz w:val="24"/>
                <w:szCs w:val="24"/>
                <w:lang w:val="ro-RO"/>
              </w:rPr>
            </w:pPr>
          </w:p>
        </w:tc>
        <w:tc>
          <w:tcPr>
            <w:tcW w:w="7921" w:type="dxa"/>
            <w:gridSpan w:val="10"/>
          </w:tcPr>
          <w:p w14:paraId="122E7732" w14:textId="77777777" w:rsidR="00262EE8" w:rsidRPr="00F71515"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w:t>
            </w:r>
            <w:r>
              <w:rPr>
                <w:rFonts w:ascii="Times New Roman" w:hAnsi="Times New Roman"/>
                <w:color w:val="auto"/>
                <w:sz w:val="24"/>
                <w:szCs w:val="24"/>
                <w:lang w:val="ro-RO"/>
              </w:rPr>
              <w:t xml:space="preserve"> se referă la acest subiect</w:t>
            </w:r>
            <w:r w:rsidRPr="00B769A1">
              <w:rPr>
                <w:rFonts w:ascii="Times New Roman" w:hAnsi="Times New Roman"/>
                <w:color w:val="auto"/>
                <w:sz w:val="24"/>
                <w:szCs w:val="24"/>
                <w:lang w:val="ro-RO"/>
              </w:rPr>
              <w:t xml:space="preserve"> </w:t>
            </w:r>
          </w:p>
        </w:tc>
      </w:tr>
      <w:tr w:rsidR="00262EE8" w:rsidRPr="00B769A1" w14:paraId="59CF2DD8" w14:textId="77777777" w:rsidTr="00526537">
        <w:tc>
          <w:tcPr>
            <w:tcW w:w="2639" w:type="dxa"/>
          </w:tcPr>
          <w:p w14:paraId="4E42BF4F" w14:textId="77777777" w:rsidR="00262EE8" w:rsidRPr="00B769A1" w:rsidRDefault="00262EE8" w:rsidP="00526537">
            <w:pPr>
              <w:spacing w:line="360" w:lineRule="auto"/>
              <w:rPr>
                <w:rFonts w:ascii="Times New Roman" w:hAnsi="Times New Roman"/>
                <w:color w:val="auto"/>
                <w:sz w:val="24"/>
                <w:szCs w:val="24"/>
                <w:lang w:val="ro-RO"/>
              </w:rPr>
            </w:pPr>
            <w:r w:rsidRPr="00B769A1">
              <w:rPr>
                <w:rFonts w:ascii="Times New Roman" w:hAnsi="Times New Roman"/>
                <w:color w:val="auto"/>
                <w:sz w:val="24"/>
                <w:szCs w:val="24"/>
                <w:lang w:val="ro-RO"/>
              </w:rPr>
              <w:t>3. Impactul social</w:t>
            </w:r>
          </w:p>
        </w:tc>
        <w:tc>
          <w:tcPr>
            <w:tcW w:w="7921" w:type="dxa"/>
            <w:gridSpan w:val="10"/>
          </w:tcPr>
          <w:p w14:paraId="71B221FF" w14:textId="77777777" w:rsidR="00262EE8" w:rsidRPr="00B769A1" w:rsidRDefault="00262EE8" w:rsidP="00526537">
            <w:pPr>
              <w:pStyle w:val="Footer"/>
              <w:tabs>
                <w:tab w:val="clear" w:pos="4320"/>
                <w:tab w:val="clear" w:pos="8640"/>
              </w:tabs>
              <w:jc w:val="both"/>
              <w:rPr>
                <w:rFonts w:ascii="Times New Roman" w:hAnsi="Times New Roman"/>
                <w:bCs/>
                <w:color w:val="auto"/>
                <w:sz w:val="24"/>
                <w:szCs w:val="24"/>
                <w:highlight w:val="yellow"/>
                <w:lang w:val="ro-RO"/>
              </w:rPr>
            </w:pPr>
            <w:r w:rsidRPr="00B769A1">
              <w:rPr>
                <w:rFonts w:ascii="Times New Roman" w:hAnsi="Times New Roman"/>
                <w:color w:val="auto"/>
                <w:sz w:val="24"/>
                <w:szCs w:val="24"/>
                <w:lang w:val="ro-RO"/>
              </w:rPr>
              <w:t xml:space="preserve">Proiectul de act normativ va conduce la sporirea capacităţii </w:t>
            </w:r>
            <w:r>
              <w:rPr>
                <w:rFonts w:ascii="Times New Roman" w:hAnsi="Times New Roman"/>
                <w:color w:val="auto"/>
                <w:sz w:val="24"/>
                <w:szCs w:val="24"/>
                <w:lang w:val="ro-RO"/>
              </w:rPr>
              <w:t xml:space="preserve">de utilizare a terenurilor agricole devenite neproductive din punct de vedere agricol și </w:t>
            </w:r>
            <w:r w:rsidRPr="00B769A1">
              <w:rPr>
                <w:rFonts w:ascii="Times New Roman" w:hAnsi="Times New Roman"/>
                <w:color w:val="auto"/>
                <w:sz w:val="24"/>
                <w:szCs w:val="24"/>
                <w:lang w:val="ro-RO"/>
              </w:rPr>
              <w:lastRenderedPageBreak/>
              <w:t>asigura</w:t>
            </w:r>
            <w:r>
              <w:rPr>
                <w:rFonts w:ascii="Times New Roman" w:hAnsi="Times New Roman"/>
                <w:color w:val="auto"/>
                <w:sz w:val="24"/>
                <w:szCs w:val="24"/>
                <w:lang w:val="ro-RO"/>
              </w:rPr>
              <w:t xml:space="preserve">rea de </w:t>
            </w:r>
            <w:r w:rsidRPr="00B769A1">
              <w:rPr>
                <w:rFonts w:ascii="Times New Roman" w:hAnsi="Times New Roman"/>
                <w:color w:val="auto"/>
                <w:sz w:val="24"/>
                <w:szCs w:val="24"/>
                <w:lang w:val="ro-RO"/>
              </w:rPr>
              <w:t xml:space="preserve"> bunuri şi servicii specifice pădurii, comunităţilor locale, în baza rolului multifuncţional al pădurilor. </w:t>
            </w:r>
          </w:p>
        </w:tc>
      </w:tr>
      <w:tr w:rsidR="00262EE8" w:rsidRPr="00B769A1" w14:paraId="2C5B909F" w14:textId="77777777" w:rsidTr="00526537">
        <w:tc>
          <w:tcPr>
            <w:tcW w:w="2639" w:type="dxa"/>
          </w:tcPr>
          <w:p w14:paraId="7C1E9B32"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 xml:space="preserve">4. Impactul asupra mediului </w:t>
            </w:r>
          </w:p>
        </w:tc>
        <w:tc>
          <w:tcPr>
            <w:tcW w:w="7921" w:type="dxa"/>
            <w:gridSpan w:val="10"/>
          </w:tcPr>
          <w:p w14:paraId="3D34C44D" w14:textId="77777777" w:rsidR="00262EE8" w:rsidRPr="00B769A1" w:rsidRDefault="00262EE8" w:rsidP="00526537">
            <w:pPr>
              <w:jc w:val="both"/>
              <w:rPr>
                <w:rFonts w:ascii="Times New Roman" w:hAnsi="Times New Roman"/>
                <w:color w:val="auto"/>
                <w:sz w:val="24"/>
                <w:szCs w:val="24"/>
                <w:highlight w:val="yellow"/>
                <w:lang w:val="ro-RO"/>
              </w:rPr>
            </w:pPr>
            <w:r w:rsidRPr="003A3825">
              <w:rPr>
                <w:rFonts w:ascii="Times New Roman" w:hAnsi="Times New Roman"/>
                <w:color w:val="auto"/>
                <w:sz w:val="24"/>
                <w:szCs w:val="24"/>
                <w:lang w:val="ro-RO"/>
              </w:rPr>
              <w:t xml:space="preserve">   Prin aplicarea prevederilor prezentului act normativ, concretizat în împădurirea terenurilor degradate, se protejează solul împotriva eroziunii, se îmbunătăţeşte bilanţul hidric, se purifică aerul, se asigură puritatea apelor şi se ameliorează factorii climatici.</w:t>
            </w:r>
          </w:p>
        </w:tc>
      </w:tr>
      <w:tr w:rsidR="00262EE8" w:rsidRPr="00B769A1" w14:paraId="66639F32" w14:textId="77777777" w:rsidTr="00526537">
        <w:tc>
          <w:tcPr>
            <w:tcW w:w="2639" w:type="dxa"/>
          </w:tcPr>
          <w:p w14:paraId="4FC7E4A6"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5. Alte informaţii</w:t>
            </w:r>
          </w:p>
        </w:tc>
        <w:tc>
          <w:tcPr>
            <w:tcW w:w="7921" w:type="dxa"/>
            <w:gridSpan w:val="10"/>
          </w:tcPr>
          <w:p w14:paraId="429B99AF"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262EE8" w:rsidRPr="00B769A1" w14:paraId="0AAB298D" w14:textId="77777777" w:rsidTr="00526537">
        <w:tc>
          <w:tcPr>
            <w:tcW w:w="10560" w:type="dxa"/>
            <w:gridSpan w:val="11"/>
          </w:tcPr>
          <w:p w14:paraId="16DF2C17" w14:textId="77777777" w:rsidR="00262EE8" w:rsidRPr="00B769A1" w:rsidRDefault="00262EE8" w:rsidP="00526537">
            <w:pPr>
              <w:spacing w:line="276"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4-a: Impactul financiar asupra bugetului general consolidat, atât pe termen scurt, pentru anul curent, cât şi pe termen lung (pe 5 ani)</w:t>
            </w:r>
          </w:p>
        </w:tc>
      </w:tr>
      <w:tr w:rsidR="00262EE8" w:rsidRPr="00B769A1" w14:paraId="536BF8D9" w14:textId="77777777" w:rsidTr="00526537">
        <w:tc>
          <w:tcPr>
            <w:tcW w:w="10560" w:type="dxa"/>
            <w:gridSpan w:val="11"/>
          </w:tcPr>
          <w:p w14:paraId="6365CCBA" w14:textId="77777777" w:rsidR="00262EE8" w:rsidRPr="00B769A1" w:rsidRDefault="00262EE8" w:rsidP="00526537">
            <w:pPr>
              <w:spacing w:line="360" w:lineRule="auto"/>
              <w:jc w:val="right"/>
              <w:rPr>
                <w:rFonts w:ascii="Times New Roman" w:hAnsi="Times New Roman"/>
                <w:color w:val="auto"/>
                <w:sz w:val="24"/>
                <w:szCs w:val="24"/>
                <w:lang w:val="ro-RO"/>
              </w:rPr>
            </w:pPr>
            <w:r w:rsidRPr="00B769A1">
              <w:rPr>
                <w:rFonts w:ascii="Times New Roman" w:hAnsi="Times New Roman"/>
                <w:color w:val="auto"/>
                <w:sz w:val="24"/>
                <w:szCs w:val="24"/>
                <w:lang w:val="ro-RO"/>
              </w:rPr>
              <w:t>- mii lei -</w:t>
            </w:r>
          </w:p>
        </w:tc>
      </w:tr>
      <w:tr w:rsidR="00262EE8" w:rsidRPr="00B769A1" w14:paraId="647F8703" w14:textId="77777777" w:rsidTr="00526537">
        <w:trPr>
          <w:trHeight w:val="564"/>
        </w:trPr>
        <w:tc>
          <w:tcPr>
            <w:tcW w:w="4478" w:type="dxa"/>
            <w:gridSpan w:val="2"/>
          </w:tcPr>
          <w:p w14:paraId="703691A5"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Indicatori</w:t>
            </w:r>
          </w:p>
        </w:tc>
        <w:tc>
          <w:tcPr>
            <w:tcW w:w="900" w:type="dxa"/>
          </w:tcPr>
          <w:p w14:paraId="787E4799"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Anul</w:t>
            </w:r>
          </w:p>
          <w:p w14:paraId="1F8D9EB6"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curent</w:t>
            </w:r>
          </w:p>
        </w:tc>
        <w:tc>
          <w:tcPr>
            <w:tcW w:w="4009" w:type="dxa"/>
            <w:gridSpan w:val="7"/>
          </w:tcPr>
          <w:p w14:paraId="170E75C6"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Următorii</w:t>
            </w:r>
          </w:p>
          <w:p w14:paraId="20C8F59D"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4 ani</w:t>
            </w:r>
          </w:p>
        </w:tc>
        <w:tc>
          <w:tcPr>
            <w:tcW w:w="1173" w:type="dxa"/>
          </w:tcPr>
          <w:p w14:paraId="588342DA"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Media</w:t>
            </w:r>
          </w:p>
          <w:p w14:paraId="3EA89597" w14:textId="77777777" w:rsidR="00262EE8" w:rsidRPr="00B769A1" w:rsidRDefault="00262EE8" w:rsidP="00526537">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pe 5 ani</w:t>
            </w:r>
          </w:p>
        </w:tc>
      </w:tr>
      <w:tr w:rsidR="00262EE8" w:rsidRPr="00B769A1" w14:paraId="38641F2B" w14:textId="77777777" w:rsidTr="00526537">
        <w:trPr>
          <w:trHeight w:val="170"/>
        </w:trPr>
        <w:tc>
          <w:tcPr>
            <w:tcW w:w="4478" w:type="dxa"/>
            <w:gridSpan w:val="2"/>
          </w:tcPr>
          <w:p w14:paraId="0B6B7109"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1</w:t>
            </w:r>
          </w:p>
        </w:tc>
        <w:tc>
          <w:tcPr>
            <w:tcW w:w="900" w:type="dxa"/>
          </w:tcPr>
          <w:p w14:paraId="33DC0BCF"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2</w:t>
            </w:r>
          </w:p>
        </w:tc>
        <w:tc>
          <w:tcPr>
            <w:tcW w:w="1027" w:type="dxa"/>
            <w:gridSpan w:val="3"/>
          </w:tcPr>
          <w:p w14:paraId="1BBDDE1E"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3</w:t>
            </w:r>
          </w:p>
        </w:tc>
        <w:tc>
          <w:tcPr>
            <w:tcW w:w="996" w:type="dxa"/>
          </w:tcPr>
          <w:p w14:paraId="5DFED72C"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4</w:t>
            </w:r>
          </w:p>
        </w:tc>
        <w:tc>
          <w:tcPr>
            <w:tcW w:w="994" w:type="dxa"/>
            <w:gridSpan w:val="2"/>
          </w:tcPr>
          <w:p w14:paraId="1491AE9E"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5</w:t>
            </w:r>
          </w:p>
        </w:tc>
        <w:tc>
          <w:tcPr>
            <w:tcW w:w="992" w:type="dxa"/>
          </w:tcPr>
          <w:p w14:paraId="33E4B200"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6</w:t>
            </w:r>
          </w:p>
        </w:tc>
        <w:tc>
          <w:tcPr>
            <w:tcW w:w="1173" w:type="dxa"/>
          </w:tcPr>
          <w:p w14:paraId="678D723B"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7</w:t>
            </w:r>
          </w:p>
        </w:tc>
      </w:tr>
      <w:tr w:rsidR="00262EE8" w:rsidRPr="00B769A1" w14:paraId="0C9DEBEB" w14:textId="77777777" w:rsidTr="00526537">
        <w:tc>
          <w:tcPr>
            <w:tcW w:w="4478" w:type="dxa"/>
            <w:gridSpan w:val="2"/>
          </w:tcPr>
          <w:p w14:paraId="740C9760" w14:textId="77777777" w:rsidR="00262EE8" w:rsidRPr="00B769A1" w:rsidRDefault="00262EE8" w:rsidP="00526537">
            <w:pPr>
              <w:spacing w:line="360" w:lineRule="auto"/>
              <w:jc w:val="center"/>
              <w:rPr>
                <w:rFonts w:ascii="Times New Roman" w:hAnsi="Times New Roman"/>
                <w:color w:val="auto"/>
                <w:sz w:val="24"/>
                <w:szCs w:val="24"/>
                <w:lang w:val="ro-RO"/>
              </w:rPr>
            </w:pPr>
          </w:p>
        </w:tc>
        <w:tc>
          <w:tcPr>
            <w:tcW w:w="900" w:type="dxa"/>
          </w:tcPr>
          <w:p w14:paraId="22182727" w14:textId="77777777" w:rsidR="00262EE8" w:rsidRPr="00B769A1" w:rsidRDefault="00262EE8" w:rsidP="00526537">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2021</w:t>
            </w:r>
          </w:p>
        </w:tc>
        <w:tc>
          <w:tcPr>
            <w:tcW w:w="1027" w:type="dxa"/>
            <w:gridSpan w:val="3"/>
          </w:tcPr>
          <w:p w14:paraId="13A2BE97"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6" w:type="dxa"/>
          </w:tcPr>
          <w:p w14:paraId="65765BE7"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4" w:type="dxa"/>
            <w:gridSpan w:val="2"/>
          </w:tcPr>
          <w:p w14:paraId="08B09DD7"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7AA3EA50" w14:textId="77777777" w:rsidR="00262EE8" w:rsidRPr="00B769A1" w:rsidRDefault="00262EE8" w:rsidP="00526537">
            <w:pPr>
              <w:spacing w:line="360" w:lineRule="auto"/>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7D60FB84" w14:textId="77777777" w:rsidR="00262EE8" w:rsidRPr="00B769A1" w:rsidRDefault="00262EE8" w:rsidP="00526537">
            <w:pPr>
              <w:spacing w:line="360" w:lineRule="auto"/>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262EE8" w:rsidRPr="00B769A1" w14:paraId="79A30819" w14:textId="77777777" w:rsidTr="00526537">
        <w:trPr>
          <w:trHeight w:val="416"/>
        </w:trPr>
        <w:tc>
          <w:tcPr>
            <w:tcW w:w="4478" w:type="dxa"/>
            <w:gridSpan w:val="2"/>
          </w:tcPr>
          <w:p w14:paraId="21705EAE"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Modificări ale veniturilor bugetare, plus/minus, din care:</w:t>
            </w:r>
          </w:p>
          <w:p w14:paraId="6EECF78C" w14:textId="77777777" w:rsidR="00262EE8" w:rsidRPr="00B769A1" w:rsidRDefault="00262EE8" w:rsidP="00526537">
            <w:pPr>
              <w:numPr>
                <w:ilvl w:val="0"/>
                <w:numId w:val="1"/>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 de stat, din acesta:</w:t>
            </w:r>
          </w:p>
          <w:p w14:paraId="13E1BADC" w14:textId="77777777" w:rsidR="00262EE8" w:rsidRPr="00B769A1" w:rsidRDefault="00262EE8" w:rsidP="00526537">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profit</w:t>
            </w:r>
          </w:p>
          <w:p w14:paraId="55CA4D48" w14:textId="77777777" w:rsidR="00262EE8" w:rsidRPr="00B769A1" w:rsidRDefault="00262EE8" w:rsidP="00526537">
            <w:pPr>
              <w:numPr>
                <w:ilvl w:val="0"/>
                <w:numId w:val="2"/>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venit</w:t>
            </w:r>
          </w:p>
          <w:p w14:paraId="4D03A84F" w14:textId="77777777" w:rsidR="00262EE8" w:rsidRPr="00B769A1" w:rsidRDefault="00262EE8" w:rsidP="00526537">
            <w:pPr>
              <w:numPr>
                <w:ilvl w:val="0"/>
                <w:numId w:val="1"/>
              </w:numPr>
              <w:tabs>
                <w:tab w:val="left" w:pos="72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bugete locale:</w:t>
            </w:r>
          </w:p>
          <w:p w14:paraId="205CC0C8" w14:textId="77777777" w:rsidR="00262EE8" w:rsidRPr="00B769A1" w:rsidRDefault="00262EE8" w:rsidP="00526537">
            <w:pPr>
              <w:numPr>
                <w:ilvl w:val="0"/>
                <w:numId w:val="3"/>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impozit pe profit</w:t>
            </w:r>
          </w:p>
          <w:p w14:paraId="215C8995" w14:textId="77777777" w:rsidR="00262EE8" w:rsidRPr="00B769A1" w:rsidRDefault="00262EE8" w:rsidP="00526537">
            <w:pPr>
              <w:numPr>
                <w:ilvl w:val="0"/>
                <w:numId w:val="1"/>
              </w:numPr>
              <w:tabs>
                <w:tab w:val="left" w:pos="72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bugetul asigurărilor sociale de stat:</w:t>
            </w:r>
          </w:p>
          <w:p w14:paraId="7616D332" w14:textId="77777777" w:rsidR="00262EE8" w:rsidRPr="00B769A1" w:rsidRDefault="00262EE8" w:rsidP="00526537">
            <w:pPr>
              <w:numPr>
                <w:ilvl w:val="0"/>
                <w:numId w:val="4"/>
              </w:numPr>
              <w:tabs>
                <w:tab w:val="clear" w:pos="1080"/>
                <w:tab w:val="left" w:pos="720"/>
                <w:tab w:val="num" w:pos="900"/>
              </w:tabs>
              <w:jc w:val="both"/>
              <w:rPr>
                <w:rFonts w:ascii="Times New Roman" w:hAnsi="Times New Roman"/>
                <w:color w:val="auto"/>
                <w:sz w:val="24"/>
                <w:szCs w:val="24"/>
                <w:lang w:val="ro-RO"/>
              </w:rPr>
            </w:pPr>
            <w:r w:rsidRPr="00B769A1">
              <w:rPr>
                <w:rFonts w:ascii="Times New Roman" w:hAnsi="Times New Roman"/>
                <w:color w:val="auto"/>
                <w:sz w:val="24"/>
                <w:szCs w:val="24"/>
                <w:lang w:val="ro-RO"/>
              </w:rPr>
              <w:t>contribuţii de asigurări</w:t>
            </w:r>
          </w:p>
        </w:tc>
        <w:tc>
          <w:tcPr>
            <w:tcW w:w="6082" w:type="dxa"/>
            <w:gridSpan w:val="9"/>
          </w:tcPr>
          <w:p w14:paraId="64B11C99"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nu </w:t>
            </w:r>
            <w:r>
              <w:rPr>
                <w:rFonts w:ascii="Times New Roman" w:hAnsi="Times New Roman"/>
                <w:color w:val="auto"/>
                <w:sz w:val="24"/>
                <w:szCs w:val="24"/>
                <w:lang w:val="ro-RO"/>
              </w:rPr>
              <w:t>se referă la acest subiect</w:t>
            </w:r>
            <w:r w:rsidRPr="00B769A1">
              <w:rPr>
                <w:rFonts w:ascii="Times New Roman" w:hAnsi="Times New Roman"/>
                <w:color w:val="auto"/>
                <w:sz w:val="24"/>
                <w:szCs w:val="24"/>
                <w:lang w:val="ro-RO"/>
              </w:rPr>
              <w:t>.</w:t>
            </w:r>
          </w:p>
        </w:tc>
      </w:tr>
      <w:tr w:rsidR="00262EE8" w:rsidRPr="00B769A1" w14:paraId="44EF7046" w14:textId="77777777" w:rsidTr="00526537">
        <w:trPr>
          <w:trHeight w:val="451"/>
        </w:trPr>
        <w:tc>
          <w:tcPr>
            <w:tcW w:w="4478" w:type="dxa"/>
            <w:gridSpan w:val="2"/>
            <w:vMerge w:val="restart"/>
          </w:tcPr>
          <w:p w14:paraId="7E7AA435" w14:textId="77777777" w:rsidR="00262EE8" w:rsidRPr="00B769A1" w:rsidRDefault="00262EE8" w:rsidP="00526537">
            <w:pPr>
              <w:autoSpaceDE w:val="0"/>
              <w:autoSpaceDN w:val="0"/>
              <w:adjustRightInd w:val="0"/>
              <w:rPr>
                <w:rFonts w:ascii="Times New Roman" w:hAnsi="Times New Roman"/>
                <w:color w:val="auto"/>
                <w:sz w:val="24"/>
                <w:szCs w:val="24"/>
                <w:lang w:val="ro-RO"/>
              </w:rPr>
            </w:pPr>
            <w:r w:rsidRPr="00B769A1">
              <w:rPr>
                <w:rFonts w:ascii="Times New Roman" w:hAnsi="Times New Roman"/>
                <w:color w:val="auto"/>
                <w:sz w:val="24"/>
                <w:szCs w:val="24"/>
                <w:lang w:val="ro-RO"/>
              </w:rPr>
              <w:t>2. Modificări ale cheltuielilor bugetare plus/minus, din care:</w:t>
            </w:r>
          </w:p>
          <w:p w14:paraId="41FA92A5" w14:textId="77777777" w:rsidR="00262EE8" w:rsidRPr="00B769A1" w:rsidRDefault="00262EE8" w:rsidP="00526537">
            <w:pPr>
              <w:numPr>
                <w:ilvl w:val="0"/>
                <w:numId w:val="5"/>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 de stat</w:t>
            </w:r>
          </w:p>
          <w:p w14:paraId="44D8947D" w14:textId="77777777" w:rsidR="00262EE8" w:rsidRPr="00B769A1" w:rsidRDefault="00262EE8" w:rsidP="00526537">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B769A1">
              <w:rPr>
                <w:rFonts w:ascii="Times New Roman" w:hAnsi="Times New Roman"/>
                <w:color w:val="auto"/>
                <w:sz w:val="24"/>
                <w:szCs w:val="24"/>
                <w:lang w:val="ro-RO"/>
              </w:rPr>
              <w:t>credit extern</w:t>
            </w:r>
          </w:p>
          <w:p w14:paraId="43C5635D" w14:textId="77777777" w:rsidR="00262EE8" w:rsidRPr="00B769A1" w:rsidRDefault="00262EE8" w:rsidP="00526537">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B769A1">
              <w:rPr>
                <w:rFonts w:ascii="Times New Roman" w:hAnsi="Times New Roman"/>
                <w:color w:val="auto"/>
                <w:sz w:val="24"/>
                <w:szCs w:val="24"/>
                <w:lang w:val="ro-RO"/>
              </w:rPr>
              <w:t>surse proprii</w:t>
            </w:r>
          </w:p>
        </w:tc>
        <w:tc>
          <w:tcPr>
            <w:tcW w:w="920" w:type="dxa"/>
            <w:gridSpan w:val="2"/>
          </w:tcPr>
          <w:p w14:paraId="0681CC77" w14:textId="77777777" w:rsidR="00262EE8" w:rsidRPr="00B769A1" w:rsidRDefault="00262EE8" w:rsidP="00526537">
            <w:pPr>
              <w:spacing w:line="360" w:lineRule="auto"/>
              <w:jc w:val="both"/>
              <w:rPr>
                <w:rFonts w:ascii="Times New Roman" w:hAnsi="Times New Roman"/>
                <w:color w:val="auto"/>
                <w:sz w:val="24"/>
                <w:szCs w:val="24"/>
                <w:lang w:val="ro-RO"/>
              </w:rPr>
            </w:pPr>
            <w:r>
              <w:rPr>
                <w:rFonts w:ascii="Times New Roman" w:hAnsi="Times New Roman"/>
                <w:color w:val="auto"/>
                <w:sz w:val="24"/>
                <w:szCs w:val="24"/>
                <w:lang w:val="ro-RO"/>
              </w:rPr>
              <w:t>-</w:t>
            </w:r>
          </w:p>
        </w:tc>
        <w:tc>
          <w:tcPr>
            <w:tcW w:w="1007" w:type="dxa"/>
            <w:gridSpan w:val="2"/>
          </w:tcPr>
          <w:p w14:paraId="3C8DB75D"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p>
        </w:tc>
        <w:tc>
          <w:tcPr>
            <w:tcW w:w="996" w:type="dxa"/>
          </w:tcPr>
          <w:p w14:paraId="23C0453A"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4" w:type="dxa"/>
            <w:gridSpan w:val="2"/>
          </w:tcPr>
          <w:p w14:paraId="222C7EC4"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2007DDA0"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68CE1458"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r>
              <w:rPr>
                <w:rFonts w:ascii="Times New Roman" w:hAnsi="Times New Roman"/>
                <w:color w:val="auto"/>
                <w:sz w:val="24"/>
                <w:szCs w:val="24"/>
                <w:lang w:val="ro-RO"/>
              </w:rPr>
              <w:t>-</w:t>
            </w:r>
          </w:p>
        </w:tc>
      </w:tr>
      <w:tr w:rsidR="00262EE8" w:rsidRPr="00B769A1" w14:paraId="1718267C" w14:textId="77777777" w:rsidTr="00526537">
        <w:trPr>
          <w:trHeight w:val="348"/>
        </w:trPr>
        <w:tc>
          <w:tcPr>
            <w:tcW w:w="4478" w:type="dxa"/>
            <w:gridSpan w:val="2"/>
            <w:vMerge/>
          </w:tcPr>
          <w:p w14:paraId="30B31462" w14:textId="77777777" w:rsidR="00262EE8" w:rsidRPr="00B769A1" w:rsidRDefault="00262EE8" w:rsidP="00526537">
            <w:pPr>
              <w:autoSpaceDE w:val="0"/>
              <w:autoSpaceDN w:val="0"/>
              <w:adjustRightInd w:val="0"/>
              <w:rPr>
                <w:rFonts w:ascii="Times New Roman" w:hAnsi="Times New Roman"/>
                <w:color w:val="auto"/>
                <w:sz w:val="24"/>
                <w:szCs w:val="24"/>
                <w:lang w:val="ro-RO"/>
              </w:rPr>
            </w:pPr>
          </w:p>
        </w:tc>
        <w:tc>
          <w:tcPr>
            <w:tcW w:w="920" w:type="dxa"/>
            <w:gridSpan w:val="2"/>
          </w:tcPr>
          <w:p w14:paraId="6121BD1B" w14:textId="77777777" w:rsidR="00262EE8" w:rsidRPr="00B769A1" w:rsidRDefault="00262EE8" w:rsidP="00526537">
            <w:pPr>
              <w:spacing w:line="360" w:lineRule="auto"/>
              <w:jc w:val="both"/>
              <w:rPr>
                <w:rFonts w:ascii="Times New Roman" w:hAnsi="Times New Roman"/>
                <w:color w:val="auto"/>
                <w:sz w:val="24"/>
                <w:szCs w:val="24"/>
                <w:lang w:val="ro-RO"/>
              </w:rPr>
            </w:pPr>
            <w:r>
              <w:rPr>
                <w:rFonts w:ascii="Times New Roman" w:hAnsi="Times New Roman"/>
                <w:color w:val="auto"/>
                <w:sz w:val="24"/>
                <w:szCs w:val="24"/>
                <w:lang w:val="ro-RO"/>
              </w:rPr>
              <w:t>-</w:t>
            </w:r>
          </w:p>
        </w:tc>
        <w:tc>
          <w:tcPr>
            <w:tcW w:w="1007" w:type="dxa"/>
            <w:gridSpan w:val="2"/>
          </w:tcPr>
          <w:p w14:paraId="666095EA"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6" w:type="dxa"/>
          </w:tcPr>
          <w:p w14:paraId="22641B6F"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4" w:type="dxa"/>
            <w:gridSpan w:val="2"/>
          </w:tcPr>
          <w:p w14:paraId="757D3A9A"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603E1882"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493F2917"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262EE8" w:rsidRPr="00B769A1" w14:paraId="5887F1AB" w14:textId="77777777" w:rsidTr="00526537">
        <w:trPr>
          <w:trHeight w:val="292"/>
        </w:trPr>
        <w:tc>
          <w:tcPr>
            <w:tcW w:w="4478" w:type="dxa"/>
            <w:gridSpan w:val="2"/>
            <w:vMerge/>
          </w:tcPr>
          <w:p w14:paraId="14890F55" w14:textId="77777777" w:rsidR="00262EE8" w:rsidRPr="00B769A1" w:rsidRDefault="00262EE8" w:rsidP="00526537">
            <w:pPr>
              <w:autoSpaceDE w:val="0"/>
              <w:autoSpaceDN w:val="0"/>
              <w:adjustRightInd w:val="0"/>
              <w:rPr>
                <w:rFonts w:ascii="Times New Roman" w:hAnsi="Times New Roman"/>
                <w:color w:val="auto"/>
                <w:sz w:val="24"/>
                <w:szCs w:val="24"/>
                <w:lang w:val="ro-RO"/>
              </w:rPr>
            </w:pPr>
          </w:p>
        </w:tc>
        <w:tc>
          <w:tcPr>
            <w:tcW w:w="935" w:type="dxa"/>
            <w:gridSpan w:val="3"/>
          </w:tcPr>
          <w:p w14:paraId="691DF0C4"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3CAA7495"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6" w:type="dxa"/>
          </w:tcPr>
          <w:p w14:paraId="724748C0"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4" w:type="dxa"/>
            <w:gridSpan w:val="2"/>
          </w:tcPr>
          <w:p w14:paraId="33BED8AC"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3B8B201E"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635BEC5F" w14:textId="77777777" w:rsidR="00262EE8" w:rsidRPr="00B769A1" w:rsidRDefault="00262EE8" w:rsidP="00526537">
            <w:pPr>
              <w:spacing w:line="360" w:lineRule="auto"/>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262EE8" w:rsidRPr="00B769A1" w14:paraId="3B4B74C6" w14:textId="77777777" w:rsidTr="00526537">
        <w:trPr>
          <w:trHeight w:val="285"/>
        </w:trPr>
        <w:tc>
          <w:tcPr>
            <w:tcW w:w="4478" w:type="dxa"/>
            <w:gridSpan w:val="2"/>
            <w:vMerge w:val="restart"/>
          </w:tcPr>
          <w:p w14:paraId="724F224E"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Impact financiar, plus/minus, din care:</w:t>
            </w:r>
          </w:p>
          <w:p w14:paraId="60E40DD5" w14:textId="77777777" w:rsidR="00262EE8" w:rsidRPr="00B769A1" w:rsidRDefault="00262EE8" w:rsidP="00526537">
            <w:pPr>
              <w:numPr>
                <w:ilvl w:val="0"/>
                <w:numId w:val="8"/>
              </w:num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 de stat</w:t>
            </w:r>
          </w:p>
          <w:p w14:paraId="27F39C31" w14:textId="77777777" w:rsidR="00262EE8" w:rsidRPr="00B769A1" w:rsidRDefault="00262EE8" w:rsidP="00526537">
            <w:pPr>
              <w:numPr>
                <w:ilvl w:val="0"/>
                <w:numId w:val="8"/>
              </w:num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bugete locale</w:t>
            </w:r>
          </w:p>
        </w:tc>
        <w:tc>
          <w:tcPr>
            <w:tcW w:w="935" w:type="dxa"/>
            <w:gridSpan w:val="3"/>
          </w:tcPr>
          <w:p w14:paraId="47BBC849" w14:textId="77777777" w:rsidR="00262EE8" w:rsidRPr="00B769A1" w:rsidRDefault="00262EE8" w:rsidP="00526537">
            <w:pPr>
              <w:ind w:left="-108"/>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r>
              <w:rPr>
                <w:rFonts w:ascii="Times New Roman" w:hAnsi="Times New Roman"/>
                <w:color w:val="auto"/>
                <w:sz w:val="24"/>
                <w:szCs w:val="24"/>
                <w:lang w:val="ro-RO"/>
              </w:rPr>
              <w:t>-</w:t>
            </w:r>
          </w:p>
          <w:p w14:paraId="09FF731D" w14:textId="77777777" w:rsidR="00262EE8" w:rsidRPr="00B769A1" w:rsidDel="005D215F" w:rsidRDefault="00262EE8" w:rsidP="00526537">
            <w:pPr>
              <w:jc w:val="both"/>
              <w:rPr>
                <w:rFonts w:ascii="Times New Roman" w:hAnsi="Times New Roman"/>
                <w:color w:val="auto"/>
                <w:sz w:val="24"/>
                <w:szCs w:val="24"/>
                <w:lang w:val="ro-RO"/>
              </w:rPr>
            </w:pPr>
          </w:p>
        </w:tc>
        <w:tc>
          <w:tcPr>
            <w:tcW w:w="992" w:type="dxa"/>
          </w:tcPr>
          <w:p w14:paraId="27EFC3CD"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6" w:type="dxa"/>
          </w:tcPr>
          <w:p w14:paraId="34376604"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4" w:type="dxa"/>
            <w:gridSpan w:val="2"/>
          </w:tcPr>
          <w:p w14:paraId="4C51796D"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6CAC197F"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215B013E"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262EE8" w:rsidRPr="00B769A1" w14:paraId="2D0BC9E1" w14:textId="77777777" w:rsidTr="00526537">
        <w:trPr>
          <w:trHeight w:val="432"/>
        </w:trPr>
        <w:tc>
          <w:tcPr>
            <w:tcW w:w="4478" w:type="dxa"/>
            <w:gridSpan w:val="2"/>
            <w:vMerge/>
          </w:tcPr>
          <w:p w14:paraId="58CBB42F"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p>
        </w:tc>
        <w:tc>
          <w:tcPr>
            <w:tcW w:w="935" w:type="dxa"/>
            <w:gridSpan w:val="3"/>
          </w:tcPr>
          <w:p w14:paraId="19CC4A44"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4D49C85A"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019" w:type="dxa"/>
            <w:gridSpan w:val="2"/>
          </w:tcPr>
          <w:p w14:paraId="229800A2"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71" w:type="dxa"/>
          </w:tcPr>
          <w:p w14:paraId="3C5D1BD2"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992" w:type="dxa"/>
          </w:tcPr>
          <w:p w14:paraId="5B012061"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1173" w:type="dxa"/>
          </w:tcPr>
          <w:p w14:paraId="554401F4" w14:textId="77777777" w:rsidR="00262EE8" w:rsidRPr="00B769A1" w:rsidDel="005D215F"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w:t>
            </w:r>
          </w:p>
        </w:tc>
      </w:tr>
      <w:tr w:rsidR="00262EE8" w:rsidRPr="00B769A1" w14:paraId="032B3F7F" w14:textId="77777777" w:rsidTr="00526537">
        <w:tc>
          <w:tcPr>
            <w:tcW w:w="4478" w:type="dxa"/>
            <w:gridSpan w:val="2"/>
          </w:tcPr>
          <w:p w14:paraId="384C8738"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Propuneri pentru acoperirea creşterii cheltuielilor bugetare</w:t>
            </w:r>
          </w:p>
        </w:tc>
        <w:tc>
          <w:tcPr>
            <w:tcW w:w="6082" w:type="dxa"/>
            <w:gridSpan w:val="9"/>
          </w:tcPr>
          <w:p w14:paraId="6AEC37F2"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p>
        </w:tc>
      </w:tr>
      <w:tr w:rsidR="00262EE8" w:rsidRPr="00B769A1" w14:paraId="2D8C8F34" w14:textId="77777777" w:rsidTr="00526537">
        <w:tc>
          <w:tcPr>
            <w:tcW w:w="4478" w:type="dxa"/>
            <w:gridSpan w:val="2"/>
          </w:tcPr>
          <w:p w14:paraId="2D2F92ED"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Propuneri pentru a compensa reducerea veniturilor bugetare</w:t>
            </w:r>
          </w:p>
        </w:tc>
        <w:tc>
          <w:tcPr>
            <w:tcW w:w="6082" w:type="dxa"/>
            <w:gridSpan w:val="9"/>
          </w:tcPr>
          <w:p w14:paraId="152452E3"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nu se referă la acest subiect. </w:t>
            </w:r>
          </w:p>
        </w:tc>
      </w:tr>
      <w:tr w:rsidR="00262EE8" w:rsidRPr="00B769A1" w14:paraId="2CD68133" w14:textId="77777777" w:rsidTr="00526537">
        <w:tc>
          <w:tcPr>
            <w:tcW w:w="4478" w:type="dxa"/>
            <w:gridSpan w:val="2"/>
          </w:tcPr>
          <w:p w14:paraId="045E9556"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6. Calcule detaliate privind fundamentarea modificărilor veniturilor şi/sau cheltuielilor bugetare</w:t>
            </w:r>
          </w:p>
        </w:tc>
        <w:tc>
          <w:tcPr>
            <w:tcW w:w="6082" w:type="dxa"/>
            <w:gridSpan w:val="9"/>
          </w:tcPr>
          <w:p w14:paraId="3B93B6BF"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6FAD641E" w14:textId="77777777" w:rsidTr="00526537">
        <w:trPr>
          <w:trHeight w:val="401"/>
        </w:trPr>
        <w:tc>
          <w:tcPr>
            <w:tcW w:w="10560" w:type="dxa"/>
            <w:gridSpan w:val="11"/>
          </w:tcPr>
          <w:p w14:paraId="3C2743C4" w14:textId="77777777" w:rsidR="00262EE8" w:rsidRPr="00B769A1" w:rsidRDefault="00262EE8" w:rsidP="00526537">
            <w:pPr>
              <w:jc w:val="both"/>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5-a: Efectele proiectului de act normativ asupra legislaţiei în vigoare</w:t>
            </w:r>
          </w:p>
          <w:p w14:paraId="495F7F8F" w14:textId="77777777" w:rsidR="00262EE8" w:rsidRPr="00B769A1" w:rsidRDefault="00262EE8" w:rsidP="00526537">
            <w:pPr>
              <w:jc w:val="both"/>
              <w:rPr>
                <w:rFonts w:ascii="Times New Roman" w:hAnsi="Times New Roman"/>
                <w:b/>
                <w:color w:val="auto"/>
                <w:sz w:val="24"/>
                <w:szCs w:val="24"/>
                <w:lang w:val="ro-RO"/>
              </w:rPr>
            </w:pPr>
          </w:p>
        </w:tc>
      </w:tr>
      <w:tr w:rsidR="00262EE8" w:rsidRPr="00B769A1" w14:paraId="525F378B" w14:textId="77777777" w:rsidTr="00526537">
        <w:tc>
          <w:tcPr>
            <w:tcW w:w="4478" w:type="dxa"/>
            <w:gridSpan w:val="2"/>
          </w:tcPr>
          <w:p w14:paraId="69E6C490"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1. Măsuri normative necesare pentru aplicarea prevederilor proiectului de act normativ:</w:t>
            </w:r>
          </w:p>
          <w:p w14:paraId="550FB748" w14:textId="77777777" w:rsidR="00262EE8" w:rsidRPr="00B769A1" w:rsidRDefault="00262EE8" w:rsidP="00526537">
            <w:pPr>
              <w:rPr>
                <w:rFonts w:ascii="Times New Roman" w:hAnsi="Times New Roman"/>
                <w:color w:val="auto"/>
                <w:sz w:val="24"/>
                <w:szCs w:val="24"/>
                <w:lang w:val="ro-RO"/>
              </w:rPr>
            </w:pPr>
            <w:r w:rsidRPr="00B769A1">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56F71F5E"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 acte normative ce urmează a fi elaborate în vederea implementării noilor dispoziţii</w:t>
            </w:r>
          </w:p>
        </w:tc>
        <w:tc>
          <w:tcPr>
            <w:tcW w:w="6082" w:type="dxa"/>
            <w:gridSpan w:val="9"/>
          </w:tcPr>
          <w:p w14:paraId="617B4DA9"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1538399D" w14:textId="77777777" w:rsidTr="00526537">
        <w:tc>
          <w:tcPr>
            <w:tcW w:w="4478" w:type="dxa"/>
            <w:gridSpan w:val="2"/>
          </w:tcPr>
          <w:p w14:paraId="29E29F99"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Compatibilitatea proiectului de act normativ cu legislaţia comunitară în materie</w:t>
            </w:r>
          </w:p>
        </w:tc>
        <w:tc>
          <w:tcPr>
            <w:tcW w:w="6082" w:type="dxa"/>
            <w:gridSpan w:val="9"/>
          </w:tcPr>
          <w:p w14:paraId="76116AB9"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315A51AD" w14:textId="77777777" w:rsidTr="00526537">
        <w:tc>
          <w:tcPr>
            <w:tcW w:w="4478" w:type="dxa"/>
            <w:gridSpan w:val="2"/>
          </w:tcPr>
          <w:p w14:paraId="2906FFFF"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3. Măsuri normative necesare aplicării directe a actelor normative comunitare</w:t>
            </w:r>
          </w:p>
        </w:tc>
        <w:tc>
          <w:tcPr>
            <w:tcW w:w="6082" w:type="dxa"/>
            <w:gridSpan w:val="9"/>
          </w:tcPr>
          <w:p w14:paraId="0C97A9D0"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369764C6" w14:textId="77777777" w:rsidTr="00526537">
        <w:tc>
          <w:tcPr>
            <w:tcW w:w="4478" w:type="dxa"/>
            <w:gridSpan w:val="2"/>
          </w:tcPr>
          <w:p w14:paraId="70FC2DC4"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Hotărâri ale Curţii Europene de Justiţie a Uniunii Europene</w:t>
            </w:r>
          </w:p>
        </w:tc>
        <w:tc>
          <w:tcPr>
            <w:tcW w:w="6082" w:type="dxa"/>
            <w:gridSpan w:val="9"/>
          </w:tcPr>
          <w:p w14:paraId="1574A2D4" w14:textId="77777777" w:rsidR="00262EE8" w:rsidRPr="00B769A1" w:rsidRDefault="00262EE8" w:rsidP="00526537">
            <w:pPr>
              <w:spacing w:line="360" w:lineRule="auto"/>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2A2AB98A" w14:textId="77777777" w:rsidTr="00526537">
        <w:tc>
          <w:tcPr>
            <w:tcW w:w="4478" w:type="dxa"/>
            <w:gridSpan w:val="2"/>
          </w:tcPr>
          <w:p w14:paraId="6901DDE3"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Alte acte normative şi/sau documente internaţionale din care decurg angajamente</w:t>
            </w:r>
          </w:p>
        </w:tc>
        <w:tc>
          <w:tcPr>
            <w:tcW w:w="6082" w:type="dxa"/>
            <w:gridSpan w:val="9"/>
          </w:tcPr>
          <w:p w14:paraId="07AA4521"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06DD9C3E" w14:textId="77777777" w:rsidTr="00526537">
        <w:tc>
          <w:tcPr>
            <w:tcW w:w="4478" w:type="dxa"/>
            <w:gridSpan w:val="2"/>
          </w:tcPr>
          <w:p w14:paraId="441C9F9A"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6. Alte informaţi</w:t>
            </w:r>
          </w:p>
        </w:tc>
        <w:tc>
          <w:tcPr>
            <w:tcW w:w="6082" w:type="dxa"/>
            <w:gridSpan w:val="9"/>
          </w:tcPr>
          <w:p w14:paraId="1923A0D4"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262EE8" w:rsidRPr="00B769A1" w14:paraId="1928FC57" w14:textId="77777777" w:rsidTr="00526537">
        <w:tc>
          <w:tcPr>
            <w:tcW w:w="10560" w:type="dxa"/>
            <w:gridSpan w:val="11"/>
          </w:tcPr>
          <w:p w14:paraId="7EBFA4FA" w14:textId="77777777" w:rsidR="00262EE8" w:rsidRPr="00B769A1" w:rsidRDefault="00262EE8" w:rsidP="00526537">
            <w:pPr>
              <w:autoSpaceDE w:val="0"/>
              <w:autoSpaceDN w:val="0"/>
              <w:adjustRightInd w:val="0"/>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6-a: Consultările efectuate în vederea elaborării proiectului de act normativ</w:t>
            </w:r>
          </w:p>
        </w:tc>
      </w:tr>
      <w:tr w:rsidR="00262EE8" w:rsidRPr="00B769A1" w14:paraId="2A6224DE" w14:textId="77777777" w:rsidTr="00526537">
        <w:tc>
          <w:tcPr>
            <w:tcW w:w="4478" w:type="dxa"/>
            <w:gridSpan w:val="2"/>
          </w:tcPr>
          <w:p w14:paraId="54655046"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9"/>
          </w:tcPr>
          <w:p w14:paraId="4DC56FE3"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Proiectul de act normativ nu se referă la acest subiect.</w:t>
            </w:r>
          </w:p>
        </w:tc>
      </w:tr>
      <w:tr w:rsidR="00262EE8" w:rsidRPr="00B769A1" w14:paraId="10C94A21" w14:textId="77777777" w:rsidTr="00526537">
        <w:tc>
          <w:tcPr>
            <w:tcW w:w="4478" w:type="dxa"/>
            <w:gridSpan w:val="2"/>
          </w:tcPr>
          <w:p w14:paraId="122D247B"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9"/>
          </w:tcPr>
          <w:p w14:paraId="68DD2F44"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 se referă la acest subiect.</w:t>
            </w:r>
          </w:p>
          <w:p w14:paraId="086B2078" w14:textId="77777777" w:rsidR="00262EE8" w:rsidRPr="00B769A1" w:rsidRDefault="00262EE8" w:rsidP="00526537">
            <w:pPr>
              <w:spacing w:line="360" w:lineRule="auto"/>
              <w:jc w:val="both"/>
              <w:rPr>
                <w:rFonts w:ascii="Times New Roman" w:hAnsi="Times New Roman"/>
                <w:color w:val="auto"/>
                <w:sz w:val="24"/>
                <w:szCs w:val="24"/>
                <w:lang w:val="ro-RO"/>
              </w:rPr>
            </w:pPr>
          </w:p>
        </w:tc>
      </w:tr>
      <w:tr w:rsidR="00262EE8" w:rsidRPr="00B769A1" w14:paraId="1A0B2992" w14:textId="77777777" w:rsidTr="00526537">
        <w:tc>
          <w:tcPr>
            <w:tcW w:w="4478" w:type="dxa"/>
            <w:gridSpan w:val="2"/>
          </w:tcPr>
          <w:p w14:paraId="152D7FC0"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9"/>
          </w:tcPr>
          <w:p w14:paraId="0D8A9F3A"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Proiectul de act normativ </w:t>
            </w:r>
            <w:r>
              <w:rPr>
                <w:rFonts w:ascii="Times New Roman" w:hAnsi="Times New Roman"/>
                <w:color w:val="auto"/>
                <w:sz w:val="24"/>
                <w:szCs w:val="24"/>
                <w:lang w:val="ro-RO"/>
              </w:rPr>
              <w:t xml:space="preserve">va fi transmis </w:t>
            </w:r>
            <w:r w:rsidRPr="00B769A1">
              <w:rPr>
                <w:rFonts w:ascii="Times New Roman" w:hAnsi="Times New Roman"/>
                <w:color w:val="auto"/>
                <w:sz w:val="24"/>
                <w:szCs w:val="24"/>
                <w:lang w:val="ro-RO"/>
              </w:rPr>
              <w:t xml:space="preserve"> </w:t>
            </w:r>
            <w:r>
              <w:rPr>
                <w:rFonts w:ascii="Times New Roman" w:hAnsi="Times New Roman"/>
                <w:color w:val="auto"/>
                <w:sz w:val="24"/>
                <w:szCs w:val="24"/>
                <w:lang w:val="ro-RO"/>
              </w:rPr>
              <w:t xml:space="preserve">structurilor asociative ale </w:t>
            </w:r>
            <w:r w:rsidRPr="00B769A1">
              <w:rPr>
                <w:rFonts w:ascii="Times New Roman" w:hAnsi="Times New Roman"/>
                <w:color w:val="auto"/>
                <w:sz w:val="24"/>
                <w:szCs w:val="24"/>
                <w:lang w:val="ro-RO"/>
              </w:rPr>
              <w:t xml:space="preserve"> unităţil</w:t>
            </w:r>
            <w:r>
              <w:rPr>
                <w:rFonts w:ascii="Times New Roman" w:hAnsi="Times New Roman"/>
                <w:color w:val="auto"/>
                <w:sz w:val="24"/>
                <w:szCs w:val="24"/>
                <w:lang w:val="ro-RO"/>
              </w:rPr>
              <w:t>or</w:t>
            </w:r>
            <w:r w:rsidRPr="00B769A1">
              <w:rPr>
                <w:rFonts w:ascii="Times New Roman" w:hAnsi="Times New Roman"/>
                <w:color w:val="auto"/>
                <w:sz w:val="24"/>
                <w:szCs w:val="24"/>
                <w:lang w:val="ro-RO"/>
              </w:rPr>
              <w:t xml:space="preserve"> administrativ – teritoriale </w:t>
            </w:r>
            <w:r>
              <w:rPr>
                <w:rFonts w:ascii="Times New Roman" w:hAnsi="Times New Roman"/>
                <w:color w:val="auto"/>
                <w:sz w:val="24"/>
                <w:szCs w:val="24"/>
                <w:lang w:val="ro-RO"/>
              </w:rPr>
              <w:t>pentru consultare.</w:t>
            </w:r>
            <w:r w:rsidRPr="00B769A1">
              <w:rPr>
                <w:rFonts w:ascii="Times New Roman" w:hAnsi="Times New Roman"/>
                <w:color w:val="auto"/>
                <w:sz w:val="24"/>
                <w:szCs w:val="24"/>
                <w:lang w:val="ro-RO"/>
              </w:rPr>
              <w:t xml:space="preserve"> </w:t>
            </w:r>
          </w:p>
        </w:tc>
      </w:tr>
      <w:tr w:rsidR="00262EE8" w:rsidRPr="00B769A1" w14:paraId="0AB8BCB0" w14:textId="77777777" w:rsidTr="00526537">
        <w:tc>
          <w:tcPr>
            <w:tcW w:w="4478" w:type="dxa"/>
            <w:gridSpan w:val="2"/>
          </w:tcPr>
          <w:p w14:paraId="3946940A"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p>
          <w:p w14:paraId="63AA20D7"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4. Consultările desfăşurate în cadrul consiliilor interministeriale, în conformitate cu prevederile Hotărârii Guvernului nr.</w:t>
            </w:r>
          </w:p>
          <w:p w14:paraId="10BAD6D0"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750/2005 privind constituirea consiliilor interministeriale permanente</w:t>
            </w:r>
          </w:p>
        </w:tc>
        <w:tc>
          <w:tcPr>
            <w:tcW w:w="6082" w:type="dxa"/>
            <w:gridSpan w:val="9"/>
          </w:tcPr>
          <w:p w14:paraId="6ACFA2F5" w14:textId="77777777" w:rsidR="00262EE8" w:rsidRPr="00B769A1" w:rsidRDefault="00262EE8" w:rsidP="00526537">
            <w:pPr>
              <w:jc w:val="both"/>
              <w:rPr>
                <w:rFonts w:ascii="Times New Roman" w:hAnsi="Times New Roman"/>
                <w:color w:val="auto"/>
                <w:sz w:val="24"/>
                <w:szCs w:val="24"/>
                <w:lang w:val="ro-RO"/>
              </w:rPr>
            </w:pPr>
          </w:p>
          <w:p w14:paraId="3AAB7017"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Proiectul de act normativ nu se referă la acest subiect.</w:t>
            </w:r>
          </w:p>
          <w:p w14:paraId="5DF7E929" w14:textId="77777777" w:rsidR="00262EE8" w:rsidRPr="00B769A1" w:rsidRDefault="00262EE8" w:rsidP="00526537">
            <w:pPr>
              <w:spacing w:line="360" w:lineRule="auto"/>
              <w:jc w:val="both"/>
              <w:rPr>
                <w:rFonts w:ascii="Times New Roman" w:hAnsi="Times New Roman"/>
                <w:color w:val="auto"/>
                <w:sz w:val="24"/>
                <w:szCs w:val="24"/>
                <w:lang w:val="ro-RO"/>
              </w:rPr>
            </w:pPr>
          </w:p>
        </w:tc>
      </w:tr>
      <w:tr w:rsidR="00262EE8" w:rsidRPr="00B769A1" w14:paraId="684FCE25" w14:textId="77777777" w:rsidTr="00526537">
        <w:tc>
          <w:tcPr>
            <w:tcW w:w="4478" w:type="dxa"/>
            <w:gridSpan w:val="2"/>
          </w:tcPr>
          <w:p w14:paraId="6C2B69E7"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5. Informaţii privind avizarea către:</w:t>
            </w:r>
          </w:p>
          <w:p w14:paraId="588AA513"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a) Consiliul Legislativ</w:t>
            </w:r>
          </w:p>
          <w:p w14:paraId="59EBA1F1"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b) Consiliul Suprem de Apărare a Ţării</w:t>
            </w:r>
          </w:p>
          <w:p w14:paraId="3FB084CD"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c) Consiliul Economic şi Social</w:t>
            </w:r>
          </w:p>
          <w:p w14:paraId="71E375AD"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d) Consiliul Concurenţei</w:t>
            </w:r>
          </w:p>
          <w:p w14:paraId="3E265972"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e) Curtea de Conturi</w:t>
            </w:r>
          </w:p>
        </w:tc>
        <w:tc>
          <w:tcPr>
            <w:tcW w:w="6082" w:type="dxa"/>
            <w:gridSpan w:val="9"/>
          </w:tcPr>
          <w:p w14:paraId="60423DF5" w14:textId="77777777" w:rsidR="00262EE8" w:rsidRPr="00B769A1" w:rsidRDefault="00262EE8" w:rsidP="00526537">
            <w:pPr>
              <w:jc w:val="both"/>
              <w:rPr>
                <w:rFonts w:ascii="Times New Roman" w:hAnsi="Times New Roman"/>
                <w:color w:val="auto"/>
                <w:sz w:val="24"/>
                <w:szCs w:val="24"/>
                <w:lang w:val="ro-RO"/>
              </w:rPr>
            </w:pPr>
            <w:r>
              <w:rPr>
                <w:rFonts w:ascii="Times New Roman" w:hAnsi="Times New Roman"/>
                <w:color w:val="auto"/>
                <w:sz w:val="24"/>
                <w:szCs w:val="24"/>
                <w:lang w:val="ro-RO"/>
              </w:rPr>
              <w:t>Prezentul p</w:t>
            </w:r>
            <w:r w:rsidRPr="00B769A1">
              <w:rPr>
                <w:rFonts w:ascii="Times New Roman" w:hAnsi="Times New Roman"/>
                <w:color w:val="auto"/>
                <w:sz w:val="24"/>
                <w:szCs w:val="24"/>
                <w:lang w:val="ro-RO"/>
              </w:rPr>
              <w:t>roiect de act normativ</w:t>
            </w:r>
            <w:r>
              <w:rPr>
                <w:rFonts w:ascii="Times New Roman" w:hAnsi="Times New Roman"/>
                <w:color w:val="auto"/>
                <w:sz w:val="24"/>
                <w:szCs w:val="24"/>
                <w:lang w:val="ro-RO"/>
              </w:rPr>
              <w:t xml:space="preserve"> va fi </w:t>
            </w:r>
            <w:r w:rsidRPr="00B769A1">
              <w:rPr>
                <w:rFonts w:ascii="Times New Roman" w:hAnsi="Times New Roman"/>
                <w:color w:val="auto"/>
                <w:sz w:val="24"/>
                <w:szCs w:val="24"/>
                <w:lang w:val="ro-RO"/>
              </w:rPr>
              <w:t>avizat de Consiliul Legislativ.</w:t>
            </w:r>
          </w:p>
        </w:tc>
      </w:tr>
      <w:tr w:rsidR="00262EE8" w:rsidRPr="00B769A1" w14:paraId="355407D7" w14:textId="77777777" w:rsidTr="00526537">
        <w:tc>
          <w:tcPr>
            <w:tcW w:w="10560" w:type="dxa"/>
            <w:gridSpan w:val="11"/>
          </w:tcPr>
          <w:p w14:paraId="58A46218" w14:textId="77777777" w:rsidR="00262EE8" w:rsidRPr="00B769A1" w:rsidRDefault="00262EE8" w:rsidP="00526537">
            <w:pPr>
              <w:autoSpaceDE w:val="0"/>
              <w:autoSpaceDN w:val="0"/>
              <w:adjustRightInd w:val="0"/>
              <w:spacing w:line="276"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Secţiunea a 7-a: Activităţi de informare publică privind elaborarea şi implementarea proiectului de act normativ</w:t>
            </w:r>
            <w:r w:rsidRPr="00B769A1">
              <w:rPr>
                <w:rFonts w:ascii="Times New Roman" w:hAnsi="Times New Roman"/>
                <w:color w:val="auto"/>
                <w:sz w:val="24"/>
                <w:szCs w:val="24"/>
                <w:lang w:val="ro-RO"/>
              </w:rPr>
              <w:t xml:space="preserve"> </w:t>
            </w:r>
          </w:p>
        </w:tc>
      </w:tr>
      <w:tr w:rsidR="00262EE8" w:rsidRPr="00B769A1" w14:paraId="1AD0D7F1" w14:textId="77777777" w:rsidTr="00526537">
        <w:tc>
          <w:tcPr>
            <w:tcW w:w="4478" w:type="dxa"/>
            <w:gridSpan w:val="2"/>
          </w:tcPr>
          <w:p w14:paraId="73BD83C4" w14:textId="77777777" w:rsidR="00262EE8" w:rsidRPr="00B769A1" w:rsidRDefault="00262EE8" w:rsidP="00526537">
            <w:pPr>
              <w:autoSpaceDE w:val="0"/>
              <w:autoSpaceDN w:val="0"/>
              <w:adjustRightInd w:val="0"/>
              <w:ind w:left="-69"/>
              <w:rPr>
                <w:rFonts w:ascii="Times New Roman" w:hAnsi="Times New Roman"/>
                <w:color w:val="auto"/>
                <w:sz w:val="24"/>
                <w:szCs w:val="24"/>
                <w:lang w:val="ro-RO"/>
              </w:rPr>
            </w:pPr>
            <w:r w:rsidRPr="00B769A1">
              <w:rPr>
                <w:rFonts w:ascii="Times New Roman" w:hAnsi="Times New Roman"/>
                <w:color w:val="auto"/>
                <w:sz w:val="24"/>
                <w:szCs w:val="24"/>
                <w:lang w:val="ro-RO"/>
              </w:rPr>
              <w:t xml:space="preserve">1. Informarea societăţii civile cu </w:t>
            </w:r>
          </w:p>
          <w:p w14:paraId="4874ED0A" w14:textId="77777777" w:rsidR="00262EE8" w:rsidRPr="00B769A1" w:rsidRDefault="00262EE8" w:rsidP="00526537">
            <w:pPr>
              <w:autoSpaceDE w:val="0"/>
              <w:autoSpaceDN w:val="0"/>
              <w:adjustRightInd w:val="0"/>
              <w:rPr>
                <w:rFonts w:ascii="Times New Roman" w:hAnsi="Times New Roman"/>
                <w:color w:val="auto"/>
                <w:sz w:val="24"/>
                <w:szCs w:val="24"/>
                <w:lang w:val="ro-RO"/>
              </w:rPr>
            </w:pPr>
            <w:r w:rsidRPr="00B769A1">
              <w:rPr>
                <w:rFonts w:ascii="Times New Roman" w:hAnsi="Times New Roman"/>
                <w:color w:val="auto"/>
                <w:sz w:val="24"/>
                <w:szCs w:val="24"/>
                <w:lang w:val="ro-RO"/>
              </w:rPr>
              <w:t>privire la necesitatea elaborării proiectului de act normativ</w:t>
            </w:r>
          </w:p>
        </w:tc>
        <w:tc>
          <w:tcPr>
            <w:tcW w:w="6082" w:type="dxa"/>
            <w:gridSpan w:val="9"/>
          </w:tcPr>
          <w:p w14:paraId="48B675C5" w14:textId="77777777" w:rsidR="00262EE8" w:rsidRPr="00B769A1" w:rsidRDefault="00E06A95" w:rsidP="00526537">
            <w:pPr>
              <w:jc w:val="both"/>
              <w:rPr>
                <w:rFonts w:ascii="Times New Roman" w:hAnsi="Times New Roman"/>
                <w:color w:val="auto"/>
                <w:sz w:val="24"/>
                <w:szCs w:val="24"/>
                <w:lang w:val="ro-RO"/>
              </w:rPr>
            </w:pPr>
            <w:r w:rsidRPr="00E06A95">
              <w:rPr>
                <w:rFonts w:ascii="Times New Roman" w:hAnsi="Times New Roman"/>
                <w:color w:val="auto"/>
                <w:sz w:val="24"/>
                <w:szCs w:val="24"/>
                <w:lang w:val="ro-RO"/>
              </w:rPr>
              <w:t>În elaborarea proiectului de act normativ a fost îndeplinită procedura stabilită prin Legea nr. 52/2003 privind transparența decizională în administrația publică, republicată.</w:t>
            </w:r>
          </w:p>
        </w:tc>
      </w:tr>
      <w:tr w:rsidR="00262EE8" w:rsidRPr="00B769A1" w14:paraId="6C9B76B7" w14:textId="77777777" w:rsidTr="00526537">
        <w:tc>
          <w:tcPr>
            <w:tcW w:w="4478" w:type="dxa"/>
            <w:gridSpan w:val="2"/>
          </w:tcPr>
          <w:p w14:paraId="58F8F611"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9"/>
          </w:tcPr>
          <w:p w14:paraId="6204C8E2" w14:textId="77777777" w:rsidR="00262EE8" w:rsidRPr="00B769A1" w:rsidRDefault="00262EE8" w:rsidP="00526537">
            <w:pPr>
              <w:jc w:val="both"/>
              <w:rPr>
                <w:rFonts w:ascii="Times New Roman" w:hAnsi="Times New Roman"/>
                <w:color w:val="auto"/>
                <w:sz w:val="24"/>
                <w:szCs w:val="24"/>
                <w:lang w:val="ro-RO"/>
              </w:rPr>
            </w:pPr>
            <w:r w:rsidRPr="00647633">
              <w:rPr>
                <w:rFonts w:ascii="Times New Roman" w:hAnsi="Times New Roman"/>
                <w:color w:val="auto"/>
                <w:sz w:val="24"/>
                <w:szCs w:val="24"/>
                <w:lang w:val="ro-RO"/>
              </w:rPr>
              <w:t xml:space="preserve">Proiectul de act normativ nu se referă la acest subiect. </w:t>
            </w:r>
          </w:p>
        </w:tc>
      </w:tr>
      <w:tr w:rsidR="00262EE8" w:rsidRPr="00B769A1" w14:paraId="227260B1" w14:textId="77777777" w:rsidTr="00526537">
        <w:tc>
          <w:tcPr>
            <w:tcW w:w="4478" w:type="dxa"/>
            <w:gridSpan w:val="2"/>
          </w:tcPr>
          <w:p w14:paraId="23264AE9"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3. Alte informaţii</w:t>
            </w:r>
          </w:p>
        </w:tc>
        <w:tc>
          <w:tcPr>
            <w:tcW w:w="6082" w:type="dxa"/>
            <w:gridSpan w:val="9"/>
          </w:tcPr>
          <w:p w14:paraId="0F148D03"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r w:rsidR="00262EE8" w:rsidRPr="00B769A1" w14:paraId="6A7ED714" w14:textId="77777777" w:rsidTr="00526537">
        <w:trPr>
          <w:trHeight w:val="570"/>
        </w:trPr>
        <w:tc>
          <w:tcPr>
            <w:tcW w:w="10560" w:type="dxa"/>
            <w:gridSpan w:val="11"/>
          </w:tcPr>
          <w:p w14:paraId="18F42D69" w14:textId="77777777" w:rsidR="00262EE8" w:rsidRPr="00B769A1" w:rsidRDefault="00262EE8" w:rsidP="00526537">
            <w:pPr>
              <w:autoSpaceDE w:val="0"/>
              <w:autoSpaceDN w:val="0"/>
              <w:adjustRightInd w:val="0"/>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Secţiunea a 8-a: Măsuri de implementare </w:t>
            </w:r>
          </w:p>
        </w:tc>
      </w:tr>
      <w:tr w:rsidR="00262EE8" w:rsidRPr="00B769A1" w14:paraId="42F8D5D7" w14:textId="77777777" w:rsidTr="00526537">
        <w:tc>
          <w:tcPr>
            <w:tcW w:w="4478" w:type="dxa"/>
            <w:gridSpan w:val="2"/>
          </w:tcPr>
          <w:p w14:paraId="1F0E147A"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lastRenderedPageBreak/>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9"/>
          </w:tcPr>
          <w:p w14:paraId="7A34499C" w14:textId="77777777" w:rsidR="00262EE8" w:rsidRPr="00B769A1" w:rsidRDefault="00262EE8" w:rsidP="00526537">
            <w:pPr>
              <w:jc w:val="both"/>
              <w:rPr>
                <w:rFonts w:ascii="Times New Roman" w:hAnsi="Times New Roman"/>
                <w:color w:val="auto"/>
                <w:sz w:val="24"/>
                <w:szCs w:val="24"/>
                <w:lang w:val="ro-RO"/>
              </w:rPr>
            </w:pPr>
            <w:r w:rsidRPr="00645E66">
              <w:rPr>
                <w:rFonts w:ascii="Times New Roman" w:hAnsi="Times New Roman"/>
                <w:color w:val="auto"/>
                <w:sz w:val="24"/>
                <w:szCs w:val="24"/>
                <w:lang w:val="ro-RO"/>
              </w:rPr>
              <w:t>Proiectul de act normativ nu se referă la acest subiect.</w:t>
            </w:r>
          </w:p>
        </w:tc>
      </w:tr>
      <w:tr w:rsidR="00262EE8" w:rsidRPr="00B769A1" w14:paraId="3CBC1779" w14:textId="77777777" w:rsidTr="00526537">
        <w:tc>
          <w:tcPr>
            <w:tcW w:w="4478" w:type="dxa"/>
            <w:gridSpan w:val="2"/>
          </w:tcPr>
          <w:p w14:paraId="5F306FCC" w14:textId="77777777" w:rsidR="00262EE8" w:rsidRPr="00B769A1" w:rsidRDefault="00262EE8" w:rsidP="00526537">
            <w:pPr>
              <w:autoSpaceDE w:val="0"/>
              <w:autoSpaceDN w:val="0"/>
              <w:adjustRightInd w:val="0"/>
              <w:jc w:val="both"/>
              <w:rPr>
                <w:rFonts w:ascii="Times New Roman" w:hAnsi="Times New Roman"/>
                <w:color w:val="auto"/>
                <w:sz w:val="24"/>
                <w:szCs w:val="24"/>
                <w:lang w:val="ro-RO"/>
              </w:rPr>
            </w:pPr>
            <w:r w:rsidRPr="00B769A1">
              <w:rPr>
                <w:rFonts w:ascii="Times New Roman" w:hAnsi="Times New Roman"/>
                <w:color w:val="auto"/>
                <w:sz w:val="24"/>
                <w:szCs w:val="24"/>
                <w:lang w:val="ro-RO"/>
              </w:rPr>
              <w:t>2. Alte informaţii</w:t>
            </w:r>
          </w:p>
        </w:tc>
        <w:tc>
          <w:tcPr>
            <w:tcW w:w="6082" w:type="dxa"/>
            <w:gridSpan w:val="9"/>
          </w:tcPr>
          <w:p w14:paraId="603DC504" w14:textId="77777777" w:rsidR="00262EE8" w:rsidRPr="00B769A1" w:rsidRDefault="00262EE8" w:rsidP="00526537">
            <w:pPr>
              <w:jc w:val="both"/>
              <w:rPr>
                <w:rFonts w:ascii="Times New Roman" w:hAnsi="Times New Roman"/>
                <w:color w:val="auto"/>
                <w:sz w:val="24"/>
                <w:szCs w:val="24"/>
                <w:lang w:val="ro-RO"/>
              </w:rPr>
            </w:pPr>
            <w:r w:rsidRPr="00B769A1">
              <w:rPr>
                <w:rFonts w:ascii="Times New Roman" w:hAnsi="Times New Roman"/>
                <w:color w:val="auto"/>
                <w:sz w:val="24"/>
                <w:szCs w:val="24"/>
                <w:lang w:val="ro-RO"/>
              </w:rPr>
              <w:t>Nu au fost identificate</w:t>
            </w:r>
          </w:p>
        </w:tc>
      </w:tr>
    </w:tbl>
    <w:p w14:paraId="16DD61D0" w14:textId="77777777" w:rsidR="00262EE8" w:rsidRPr="00B769A1" w:rsidRDefault="00262EE8" w:rsidP="00262EE8">
      <w:pPr>
        <w:ind w:right="469" w:firstLine="561"/>
        <w:jc w:val="both"/>
        <w:rPr>
          <w:rFonts w:ascii="Times New Roman" w:hAnsi="Times New Roman"/>
          <w:color w:val="auto"/>
          <w:sz w:val="24"/>
          <w:szCs w:val="24"/>
          <w:lang w:val="ro-RO"/>
        </w:rPr>
      </w:pPr>
    </w:p>
    <w:p w14:paraId="45FE2EC5" w14:textId="77777777" w:rsidR="00262EE8" w:rsidRPr="00B769A1" w:rsidRDefault="00262EE8" w:rsidP="00262EE8">
      <w:pPr>
        <w:ind w:right="469" w:firstLine="561"/>
        <w:jc w:val="both"/>
        <w:rPr>
          <w:rFonts w:ascii="Times New Roman" w:hAnsi="Times New Roman"/>
          <w:color w:val="auto"/>
          <w:sz w:val="24"/>
          <w:szCs w:val="24"/>
          <w:lang w:val="ro-RO"/>
        </w:rPr>
      </w:pPr>
    </w:p>
    <w:p w14:paraId="43551CF9" w14:textId="77777777" w:rsidR="00262EE8" w:rsidRPr="00B769A1" w:rsidRDefault="00262EE8" w:rsidP="00262EE8">
      <w:pPr>
        <w:ind w:right="469" w:firstLine="561"/>
        <w:jc w:val="both"/>
        <w:rPr>
          <w:rFonts w:ascii="Times New Roman" w:hAnsi="Times New Roman"/>
          <w:color w:val="auto"/>
          <w:sz w:val="24"/>
          <w:szCs w:val="24"/>
          <w:lang w:val="ro-RO"/>
        </w:rPr>
      </w:pPr>
    </w:p>
    <w:p w14:paraId="33455B64" w14:textId="77777777" w:rsidR="00262EE8" w:rsidRDefault="00262EE8" w:rsidP="00262EE8">
      <w:pPr>
        <w:ind w:right="469" w:firstLine="561"/>
        <w:jc w:val="both"/>
        <w:rPr>
          <w:rFonts w:ascii="Times New Roman" w:hAnsi="Times New Roman"/>
          <w:color w:val="auto"/>
          <w:sz w:val="24"/>
          <w:szCs w:val="24"/>
          <w:lang w:val="ro-RO"/>
        </w:rPr>
      </w:pPr>
    </w:p>
    <w:p w14:paraId="06CFEA7E" w14:textId="77777777" w:rsidR="00262EE8" w:rsidRDefault="00262EE8" w:rsidP="00262EE8">
      <w:pPr>
        <w:ind w:right="469" w:firstLine="561"/>
        <w:jc w:val="both"/>
        <w:rPr>
          <w:rFonts w:ascii="Times New Roman" w:hAnsi="Times New Roman"/>
          <w:color w:val="auto"/>
          <w:sz w:val="24"/>
          <w:szCs w:val="24"/>
          <w:lang w:val="ro-RO"/>
        </w:rPr>
      </w:pPr>
    </w:p>
    <w:p w14:paraId="71638B1C" w14:textId="77777777" w:rsidR="00262EE8" w:rsidRDefault="00262EE8" w:rsidP="00262EE8">
      <w:pPr>
        <w:ind w:right="469" w:firstLine="561"/>
        <w:jc w:val="both"/>
        <w:rPr>
          <w:rFonts w:ascii="Times New Roman" w:hAnsi="Times New Roman"/>
          <w:color w:val="auto"/>
          <w:sz w:val="24"/>
          <w:szCs w:val="24"/>
          <w:lang w:val="ro-RO"/>
        </w:rPr>
      </w:pPr>
    </w:p>
    <w:p w14:paraId="12DC98E0" w14:textId="77777777" w:rsidR="00262EE8" w:rsidRDefault="00262EE8" w:rsidP="00262EE8">
      <w:pPr>
        <w:ind w:right="469" w:firstLine="561"/>
        <w:jc w:val="both"/>
        <w:rPr>
          <w:rFonts w:ascii="Times New Roman" w:hAnsi="Times New Roman"/>
          <w:color w:val="auto"/>
          <w:sz w:val="24"/>
          <w:szCs w:val="24"/>
          <w:lang w:val="ro-RO"/>
        </w:rPr>
      </w:pPr>
    </w:p>
    <w:p w14:paraId="33E18BD6" w14:textId="77777777" w:rsidR="00262EE8" w:rsidRDefault="00262EE8" w:rsidP="00262EE8">
      <w:pPr>
        <w:ind w:right="469" w:firstLine="561"/>
        <w:jc w:val="both"/>
        <w:rPr>
          <w:rFonts w:ascii="Times New Roman" w:hAnsi="Times New Roman"/>
          <w:color w:val="auto"/>
          <w:sz w:val="24"/>
          <w:szCs w:val="24"/>
          <w:lang w:val="ro-RO"/>
        </w:rPr>
      </w:pPr>
    </w:p>
    <w:p w14:paraId="6EBE6F00" w14:textId="77777777" w:rsidR="00262EE8" w:rsidRDefault="00262EE8" w:rsidP="00262EE8">
      <w:pPr>
        <w:ind w:right="469" w:firstLine="561"/>
        <w:jc w:val="both"/>
        <w:rPr>
          <w:rFonts w:ascii="Times New Roman" w:hAnsi="Times New Roman"/>
          <w:color w:val="auto"/>
          <w:sz w:val="24"/>
          <w:szCs w:val="24"/>
          <w:lang w:val="ro-RO"/>
        </w:rPr>
      </w:pPr>
    </w:p>
    <w:p w14:paraId="1AB5402C" w14:textId="77777777" w:rsidR="00262EE8" w:rsidRDefault="00262EE8" w:rsidP="00262EE8">
      <w:pPr>
        <w:ind w:right="469" w:firstLine="561"/>
        <w:jc w:val="both"/>
        <w:rPr>
          <w:rFonts w:ascii="Times New Roman" w:hAnsi="Times New Roman"/>
          <w:color w:val="auto"/>
          <w:sz w:val="24"/>
          <w:szCs w:val="24"/>
          <w:lang w:val="ro-RO"/>
        </w:rPr>
      </w:pPr>
    </w:p>
    <w:p w14:paraId="366BA47D" w14:textId="77777777" w:rsidR="00262EE8" w:rsidRDefault="00262EE8" w:rsidP="00262EE8">
      <w:pPr>
        <w:ind w:right="469" w:firstLine="561"/>
        <w:jc w:val="both"/>
        <w:rPr>
          <w:rFonts w:ascii="Times New Roman" w:hAnsi="Times New Roman"/>
          <w:color w:val="auto"/>
          <w:sz w:val="24"/>
          <w:szCs w:val="24"/>
          <w:lang w:val="ro-RO"/>
        </w:rPr>
      </w:pPr>
    </w:p>
    <w:p w14:paraId="5A921458" w14:textId="77777777" w:rsidR="00262EE8" w:rsidRDefault="00262EE8" w:rsidP="00262EE8">
      <w:pPr>
        <w:ind w:right="469" w:firstLine="561"/>
        <w:jc w:val="both"/>
        <w:rPr>
          <w:rFonts w:ascii="Times New Roman" w:hAnsi="Times New Roman"/>
          <w:color w:val="auto"/>
          <w:sz w:val="24"/>
          <w:szCs w:val="24"/>
          <w:lang w:val="ro-RO"/>
        </w:rPr>
      </w:pPr>
    </w:p>
    <w:p w14:paraId="31235201" w14:textId="77777777" w:rsidR="00262EE8" w:rsidRDefault="00262EE8" w:rsidP="00262EE8">
      <w:pPr>
        <w:ind w:right="469" w:firstLine="561"/>
        <w:jc w:val="both"/>
        <w:rPr>
          <w:rFonts w:ascii="Times New Roman" w:hAnsi="Times New Roman"/>
          <w:color w:val="auto"/>
          <w:sz w:val="24"/>
          <w:szCs w:val="24"/>
          <w:lang w:val="ro-RO"/>
        </w:rPr>
      </w:pPr>
    </w:p>
    <w:p w14:paraId="330DC8A1" w14:textId="77777777" w:rsidR="00262EE8" w:rsidRDefault="00262EE8" w:rsidP="00262EE8">
      <w:pPr>
        <w:ind w:right="469" w:firstLine="561"/>
        <w:jc w:val="both"/>
        <w:rPr>
          <w:rFonts w:ascii="Times New Roman" w:hAnsi="Times New Roman"/>
          <w:color w:val="auto"/>
          <w:sz w:val="24"/>
          <w:szCs w:val="24"/>
          <w:lang w:val="ro-RO"/>
        </w:rPr>
      </w:pPr>
    </w:p>
    <w:p w14:paraId="32D6A148" w14:textId="77777777" w:rsidR="00262EE8" w:rsidRDefault="00262EE8" w:rsidP="00262EE8">
      <w:pPr>
        <w:ind w:right="469" w:firstLine="561"/>
        <w:jc w:val="both"/>
        <w:rPr>
          <w:rFonts w:ascii="Times New Roman" w:hAnsi="Times New Roman"/>
          <w:color w:val="auto"/>
          <w:sz w:val="24"/>
          <w:szCs w:val="24"/>
          <w:lang w:val="ro-RO"/>
        </w:rPr>
      </w:pPr>
    </w:p>
    <w:p w14:paraId="6EF603FF" w14:textId="77777777" w:rsidR="00262EE8" w:rsidRDefault="00262EE8" w:rsidP="00262EE8">
      <w:pPr>
        <w:ind w:right="469" w:firstLine="561"/>
        <w:jc w:val="both"/>
        <w:rPr>
          <w:rFonts w:ascii="Times New Roman" w:hAnsi="Times New Roman"/>
          <w:color w:val="auto"/>
          <w:sz w:val="24"/>
          <w:szCs w:val="24"/>
          <w:lang w:val="ro-RO"/>
        </w:rPr>
      </w:pPr>
    </w:p>
    <w:p w14:paraId="6F043A5B" w14:textId="77777777" w:rsidR="00262EE8" w:rsidRDefault="00262EE8" w:rsidP="00262EE8">
      <w:pPr>
        <w:ind w:right="469" w:firstLine="561"/>
        <w:jc w:val="both"/>
        <w:rPr>
          <w:rFonts w:ascii="Times New Roman" w:hAnsi="Times New Roman"/>
          <w:color w:val="auto"/>
          <w:sz w:val="24"/>
          <w:szCs w:val="24"/>
          <w:lang w:val="ro-RO"/>
        </w:rPr>
      </w:pPr>
    </w:p>
    <w:p w14:paraId="103FA47B" w14:textId="77777777" w:rsidR="00262EE8" w:rsidRDefault="00262EE8" w:rsidP="00262EE8">
      <w:pPr>
        <w:ind w:right="469" w:firstLine="561"/>
        <w:jc w:val="both"/>
        <w:rPr>
          <w:rFonts w:ascii="Times New Roman" w:hAnsi="Times New Roman"/>
          <w:color w:val="auto"/>
          <w:sz w:val="24"/>
          <w:szCs w:val="24"/>
          <w:lang w:val="ro-RO"/>
        </w:rPr>
      </w:pPr>
    </w:p>
    <w:p w14:paraId="7495BA0D" w14:textId="77777777" w:rsidR="00262EE8" w:rsidRDefault="00262EE8" w:rsidP="00262EE8">
      <w:pPr>
        <w:ind w:right="469" w:firstLine="561"/>
        <w:jc w:val="both"/>
        <w:rPr>
          <w:rFonts w:ascii="Times New Roman" w:hAnsi="Times New Roman"/>
          <w:color w:val="auto"/>
          <w:sz w:val="24"/>
          <w:szCs w:val="24"/>
          <w:lang w:val="ro-RO"/>
        </w:rPr>
      </w:pPr>
    </w:p>
    <w:p w14:paraId="2F0F8DD8" w14:textId="77777777" w:rsidR="00262EE8" w:rsidRDefault="00262EE8" w:rsidP="00262EE8">
      <w:pPr>
        <w:ind w:right="469" w:firstLine="561"/>
        <w:jc w:val="both"/>
        <w:rPr>
          <w:rFonts w:ascii="Times New Roman" w:hAnsi="Times New Roman"/>
          <w:color w:val="auto"/>
          <w:sz w:val="24"/>
          <w:szCs w:val="24"/>
          <w:lang w:val="ro-RO"/>
        </w:rPr>
      </w:pPr>
    </w:p>
    <w:p w14:paraId="02C15A89" w14:textId="77777777" w:rsidR="00262EE8" w:rsidRDefault="00262EE8" w:rsidP="00262EE8">
      <w:pPr>
        <w:ind w:right="469" w:firstLine="561"/>
        <w:jc w:val="both"/>
        <w:rPr>
          <w:rFonts w:ascii="Times New Roman" w:hAnsi="Times New Roman"/>
          <w:color w:val="auto"/>
          <w:sz w:val="24"/>
          <w:szCs w:val="24"/>
          <w:lang w:val="ro-RO"/>
        </w:rPr>
      </w:pPr>
    </w:p>
    <w:p w14:paraId="4EBADCB0" w14:textId="77777777" w:rsidR="00262EE8" w:rsidRDefault="00262EE8" w:rsidP="00262EE8">
      <w:pPr>
        <w:ind w:right="469" w:firstLine="561"/>
        <w:jc w:val="both"/>
        <w:rPr>
          <w:rFonts w:ascii="Times New Roman" w:hAnsi="Times New Roman"/>
          <w:color w:val="auto"/>
          <w:sz w:val="24"/>
          <w:szCs w:val="24"/>
          <w:lang w:val="ro-RO"/>
        </w:rPr>
      </w:pPr>
    </w:p>
    <w:p w14:paraId="71B11824" w14:textId="77777777" w:rsidR="00262EE8" w:rsidRDefault="00262EE8" w:rsidP="00262EE8">
      <w:pPr>
        <w:ind w:right="469" w:firstLine="561"/>
        <w:jc w:val="both"/>
        <w:rPr>
          <w:rFonts w:ascii="Times New Roman" w:hAnsi="Times New Roman"/>
          <w:color w:val="auto"/>
          <w:sz w:val="24"/>
          <w:szCs w:val="24"/>
          <w:lang w:val="ro-RO"/>
        </w:rPr>
      </w:pPr>
    </w:p>
    <w:p w14:paraId="31F80382" w14:textId="77777777" w:rsidR="00262EE8" w:rsidRDefault="00262EE8" w:rsidP="00262EE8">
      <w:pPr>
        <w:ind w:right="469" w:firstLine="561"/>
        <w:jc w:val="both"/>
        <w:rPr>
          <w:rFonts w:ascii="Times New Roman" w:hAnsi="Times New Roman"/>
          <w:color w:val="auto"/>
          <w:sz w:val="24"/>
          <w:szCs w:val="24"/>
          <w:lang w:val="ro-RO"/>
        </w:rPr>
      </w:pPr>
    </w:p>
    <w:p w14:paraId="12AB5165" w14:textId="77777777" w:rsidR="00262EE8" w:rsidRDefault="00262EE8" w:rsidP="00262EE8">
      <w:pPr>
        <w:ind w:right="469" w:firstLine="561"/>
        <w:jc w:val="both"/>
        <w:rPr>
          <w:rFonts w:ascii="Times New Roman" w:hAnsi="Times New Roman"/>
          <w:color w:val="auto"/>
          <w:sz w:val="24"/>
          <w:szCs w:val="24"/>
          <w:lang w:val="ro-RO"/>
        </w:rPr>
      </w:pPr>
    </w:p>
    <w:p w14:paraId="515E47E3" w14:textId="77777777" w:rsidR="00262EE8" w:rsidRDefault="00262EE8" w:rsidP="00262EE8">
      <w:pPr>
        <w:ind w:right="469" w:firstLine="561"/>
        <w:jc w:val="both"/>
        <w:rPr>
          <w:rFonts w:ascii="Times New Roman" w:hAnsi="Times New Roman"/>
          <w:color w:val="auto"/>
          <w:sz w:val="24"/>
          <w:szCs w:val="24"/>
          <w:lang w:val="ro-RO"/>
        </w:rPr>
      </w:pPr>
    </w:p>
    <w:p w14:paraId="28F8B226" w14:textId="77777777" w:rsidR="00262EE8" w:rsidRDefault="00262EE8" w:rsidP="00262EE8">
      <w:pPr>
        <w:ind w:right="469" w:firstLine="561"/>
        <w:jc w:val="both"/>
        <w:rPr>
          <w:rFonts w:ascii="Times New Roman" w:hAnsi="Times New Roman"/>
          <w:color w:val="auto"/>
          <w:sz w:val="24"/>
          <w:szCs w:val="24"/>
          <w:lang w:val="ro-RO"/>
        </w:rPr>
      </w:pPr>
    </w:p>
    <w:p w14:paraId="67D717BF" w14:textId="77777777" w:rsidR="00262EE8" w:rsidRDefault="00262EE8" w:rsidP="00262EE8">
      <w:pPr>
        <w:ind w:right="469" w:firstLine="561"/>
        <w:jc w:val="both"/>
        <w:rPr>
          <w:rFonts w:ascii="Times New Roman" w:hAnsi="Times New Roman"/>
          <w:color w:val="auto"/>
          <w:sz w:val="24"/>
          <w:szCs w:val="24"/>
          <w:lang w:val="ro-RO"/>
        </w:rPr>
      </w:pPr>
    </w:p>
    <w:p w14:paraId="41B6E037" w14:textId="77777777" w:rsidR="00262EE8" w:rsidRDefault="00262EE8" w:rsidP="00262EE8">
      <w:pPr>
        <w:ind w:right="469" w:firstLine="561"/>
        <w:jc w:val="both"/>
        <w:rPr>
          <w:rFonts w:ascii="Times New Roman" w:hAnsi="Times New Roman"/>
          <w:color w:val="auto"/>
          <w:sz w:val="24"/>
          <w:szCs w:val="24"/>
          <w:lang w:val="ro-RO"/>
        </w:rPr>
      </w:pPr>
    </w:p>
    <w:p w14:paraId="1FC4720D" w14:textId="77777777" w:rsidR="00262EE8" w:rsidRDefault="00262EE8" w:rsidP="00262EE8">
      <w:pPr>
        <w:ind w:right="469" w:firstLine="561"/>
        <w:jc w:val="both"/>
        <w:rPr>
          <w:rFonts w:ascii="Times New Roman" w:hAnsi="Times New Roman"/>
          <w:color w:val="auto"/>
          <w:sz w:val="24"/>
          <w:szCs w:val="24"/>
          <w:lang w:val="ro-RO"/>
        </w:rPr>
      </w:pPr>
    </w:p>
    <w:p w14:paraId="4E582EEB" w14:textId="77777777" w:rsidR="00262EE8" w:rsidRDefault="00262EE8" w:rsidP="00262EE8">
      <w:pPr>
        <w:ind w:right="469" w:firstLine="561"/>
        <w:jc w:val="both"/>
        <w:rPr>
          <w:rFonts w:ascii="Times New Roman" w:hAnsi="Times New Roman"/>
          <w:color w:val="auto"/>
          <w:sz w:val="24"/>
          <w:szCs w:val="24"/>
          <w:lang w:val="ro-RO"/>
        </w:rPr>
      </w:pPr>
    </w:p>
    <w:p w14:paraId="280CD12D" w14:textId="77777777" w:rsidR="00262EE8" w:rsidRDefault="00262EE8" w:rsidP="00262EE8">
      <w:pPr>
        <w:ind w:right="469" w:firstLine="561"/>
        <w:jc w:val="both"/>
        <w:rPr>
          <w:rFonts w:ascii="Times New Roman" w:hAnsi="Times New Roman"/>
          <w:color w:val="auto"/>
          <w:sz w:val="24"/>
          <w:szCs w:val="24"/>
          <w:lang w:val="ro-RO"/>
        </w:rPr>
      </w:pPr>
    </w:p>
    <w:p w14:paraId="0EC18318" w14:textId="77777777" w:rsidR="00262EE8" w:rsidRDefault="00262EE8" w:rsidP="00262EE8">
      <w:pPr>
        <w:ind w:right="469" w:firstLine="561"/>
        <w:jc w:val="both"/>
        <w:rPr>
          <w:rFonts w:ascii="Times New Roman" w:hAnsi="Times New Roman"/>
          <w:color w:val="auto"/>
          <w:sz w:val="24"/>
          <w:szCs w:val="24"/>
          <w:lang w:val="ro-RO"/>
        </w:rPr>
      </w:pPr>
    </w:p>
    <w:p w14:paraId="30CED7BB" w14:textId="77777777" w:rsidR="00262EE8" w:rsidRDefault="00262EE8" w:rsidP="00262EE8">
      <w:pPr>
        <w:ind w:right="469" w:firstLine="561"/>
        <w:jc w:val="both"/>
        <w:rPr>
          <w:rFonts w:ascii="Times New Roman" w:hAnsi="Times New Roman"/>
          <w:color w:val="auto"/>
          <w:sz w:val="24"/>
          <w:szCs w:val="24"/>
          <w:lang w:val="ro-RO"/>
        </w:rPr>
      </w:pPr>
    </w:p>
    <w:p w14:paraId="0A36FAA0" w14:textId="77777777" w:rsidR="00262EE8" w:rsidRDefault="00262EE8" w:rsidP="00262EE8">
      <w:pPr>
        <w:ind w:right="469" w:firstLine="561"/>
        <w:jc w:val="both"/>
        <w:rPr>
          <w:rFonts w:ascii="Times New Roman" w:hAnsi="Times New Roman"/>
          <w:color w:val="auto"/>
          <w:sz w:val="24"/>
          <w:szCs w:val="24"/>
          <w:lang w:val="ro-RO"/>
        </w:rPr>
      </w:pPr>
    </w:p>
    <w:p w14:paraId="7A398FDB" w14:textId="77777777" w:rsidR="00262EE8" w:rsidRDefault="00262EE8" w:rsidP="00262EE8">
      <w:pPr>
        <w:ind w:right="469" w:firstLine="561"/>
        <w:jc w:val="both"/>
        <w:rPr>
          <w:rFonts w:ascii="Times New Roman" w:hAnsi="Times New Roman"/>
          <w:color w:val="auto"/>
          <w:sz w:val="24"/>
          <w:szCs w:val="24"/>
          <w:lang w:val="ro-RO"/>
        </w:rPr>
      </w:pPr>
    </w:p>
    <w:p w14:paraId="0D50CC8F" w14:textId="77777777" w:rsidR="00262EE8" w:rsidRDefault="00262EE8" w:rsidP="00262EE8">
      <w:pPr>
        <w:ind w:right="469" w:firstLine="561"/>
        <w:jc w:val="both"/>
        <w:rPr>
          <w:rFonts w:ascii="Times New Roman" w:hAnsi="Times New Roman"/>
          <w:color w:val="auto"/>
          <w:sz w:val="24"/>
          <w:szCs w:val="24"/>
          <w:lang w:val="ro-RO"/>
        </w:rPr>
      </w:pPr>
    </w:p>
    <w:p w14:paraId="6FC43122" w14:textId="77777777" w:rsidR="00262EE8" w:rsidRDefault="00262EE8" w:rsidP="00262EE8">
      <w:pPr>
        <w:ind w:right="469" w:firstLine="561"/>
        <w:jc w:val="both"/>
        <w:rPr>
          <w:rFonts w:ascii="Times New Roman" w:hAnsi="Times New Roman"/>
          <w:color w:val="auto"/>
          <w:sz w:val="24"/>
          <w:szCs w:val="24"/>
          <w:lang w:val="ro-RO"/>
        </w:rPr>
      </w:pPr>
    </w:p>
    <w:p w14:paraId="549DE57A" w14:textId="77777777" w:rsidR="00262EE8" w:rsidRDefault="00262EE8" w:rsidP="00262EE8">
      <w:pPr>
        <w:ind w:right="469" w:firstLine="561"/>
        <w:jc w:val="both"/>
        <w:rPr>
          <w:rFonts w:ascii="Times New Roman" w:hAnsi="Times New Roman"/>
          <w:color w:val="auto"/>
          <w:sz w:val="24"/>
          <w:szCs w:val="24"/>
          <w:lang w:val="ro-RO"/>
        </w:rPr>
      </w:pPr>
    </w:p>
    <w:p w14:paraId="48796A89" w14:textId="77777777" w:rsidR="00262EE8" w:rsidRDefault="00262EE8" w:rsidP="00262EE8">
      <w:pPr>
        <w:ind w:right="469" w:firstLine="561"/>
        <w:jc w:val="both"/>
        <w:rPr>
          <w:rFonts w:ascii="Times New Roman" w:hAnsi="Times New Roman"/>
          <w:color w:val="auto"/>
          <w:sz w:val="24"/>
          <w:szCs w:val="24"/>
          <w:lang w:val="ro-RO"/>
        </w:rPr>
      </w:pPr>
    </w:p>
    <w:p w14:paraId="74F8F537" w14:textId="77777777" w:rsidR="00262EE8" w:rsidRDefault="00262EE8" w:rsidP="00262EE8">
      <w:pPr>
        <w:ind w:right="469" w:firstLine="561"/>
        <w:jc w:val="both"/>
        <w:rPr>
          <w:rFonts w:ascii="Times New Roman" w:hAnsi="Times New Roman"/>
          <w:color w:val="auto"/>
          <w:sz w:val="24"/>
          <w:szCs w:val="24"/>
          <w:lang w:val="ro-RO"/>
        </w:rPr>
      </w:pPr>
    </w:p>
    <w:p w14:paraId="0DE42AF5" w14:textId="77777777" w:rsidR="00262EE8" w:rsidRDefault="00262EE8" w:rsidP="00262EE8">
      <w:pPr>
        <w:ind w:right="469" w:firstLine="561"/>
        <w:jc w:val="both"/>
        <w:rPr>
          <w:rFonts w:ascii="Times New Roman" w:hAnsi="Times New Roman"/>
          <w:color w:val="auto"/>
          <w:sz w:val="24"/>
          <w:szCs w:val="24"/>
          <w:lang w:val="ro-RO"/>
        </w:rPr>
      </w:pPr>
    </w:p>
    <w:p w14:paraId="0550A2BE" w14:textId="77777777" w:rsidR="00262EE8" w:rsidRDefault="00262EE8" w:rsidP="00262EE8">
      <w:pPr>
        <w:ind w:right="469" w:firstLine="561"/>
        <w:jc w:val="both"/>
        <w:rPr>
          <w:rFonts w:ascii="Times New Roman" w:hAnsi="Times New Roman"/>
          <w:color w:val="auto"/>
          <w:sz w:val="24"/>
          <w:szCs w:val="24"/>
          <w:lang w:val="ro-RO"/>
        </w:rPr>
      </w:pPr>
    </w:p>
    <w:p w14:paraId="01800D2C" w14:textId="77777777" w:rsidR="00262EE8" w:rsidRDefault="00262EE8" w:rsidP="00262EE8">
      <w:pPr>
        <w:ind w:right="469" w:firstLine="561"/>
        <w:jc w:val="both"/>
        <w:rPr>
          <w:rFonts w:ascii="Times New Roman" w:hAnsi="Times New Roman"/>
          <w:color w:val="auto"/>
          <w:sz w:val="24"/>
          <w:szCs w:val="24"/>
          <w:lang w:val="ro-RO"/>
        </w:rPr>
      </w:pPr>
    </w:p>
    <w:p w14:paraId="288602AA" w14:textId="77777777" w:rsidR="00262EE8" w:rsidRDefault="00262EE8" w:rsidP="00262EE8">
      <w:pPr>
        <w:ind w:right="469" w:firstLine="561"/>
        <w:jc w:val="both"/>
        <w:rPr>
          <w:rFonts w:ascii="Times New Roman" w:hAnsi="Times New Roman"/>
          <w:color w:val="auto"/>
          <w:sz w:val="24"/>
          <w:szCs w:val="24"/>
          <w:lang w:val="ro-RO"/>
        </w:rPr>
      </w:pPr>
    </w:p>
    <w:p w14:paraId="3820F7A5" w14:textId="77777777" w:rsidR="00262EE8" w:rsidRDefault="00262EE8" w:rsidP="00262EE8">
      <w:pPr>
        <w:ind w:right="469" w:firstLine="561"/>
        <w:jc w:val="both"/>
        <w:rPr>
          <w:rFonts w:ascii="Times New Roman" w:hAnsi="Times New Roman"/>
          <w:color w:val="auto"/>
          <w:sz w:val="24"/>
          <w:szCs w:val="24"/>
          <w:lang w:val="ro-RO"/>
        </w:rPr>
      </w:pPr>
    </w:p>
    <w:p w14:paraId="63C949A5" w14:textId="77777777" w:rsidR="00262EE8" w:rsidRPr="00B769A1" w:rsidRDefault="00262EE8" w:rsidP="00262EE8">
      <w:pPr>
        <w:ind w:right="469" w:firstLine="561"/>
        <w:jc w:val="both"/>
        <w:rPr>
          <w:rFonts w:ascii="Times New Roman" w:hAnsi="Times New Roman"/>
          <w:color w:val="auto"/>
          <w:sz w:val="24"/>
          <w:szCs w:val="24"/>
          <w:lang w:val="ro-RO"/>
        </w:rPr>
      </w:pPr>
      <w:r>
        <w:rPr>
          <w:rFonts w:ascii="Times New Roman" w:hAnsi="Times New Roman"/>
          <w:color w:val="auto"/>
          <w:sz w:val="24"/>
          <w:szCs w:val="24"/>
          <w:lang w:val="ro-RO"/>
        </w:rPr>
        <w:lastRenderedPageBreak/>
        <w:t>Pe</w:t>
      </w:r>
      <w:r w:rsidRPr="00B769A1">
        <w:rPr>
          <w:rFonts w:ascii="Times New Roman" w:hAnsi="Times New Roman"/>
          <w:color w:val="auto"/>
          <w:sz w:val="24"/>
          <w:szCs w:val="24"/>
          <w:lang w:val="ro-RO"/>
        </w:rPr>
        <w:t xml:space="preserve">ntru considerentele de mai sus, am elaborat proiectul de Hotărâre a Guvernului </w:t>
      </w:r>
      <w:r w:rsidRPr="00793C02">
        <w:rPr>
          <w:rFonts w:ascii="Times New Roman" w:hAnsi="Times New Roman"/>
          <w:bCs/>
          <w:color w:val="auto"/>
          <w:sz w:val="24"/>
          <w:szCs w:val="24"/>
          <w:lang w:val="ro-RO"/>
        </w:rPr>
        <w:t xml:space="preserve">pentru modificarea </w:t>
      </w:r>
      <w:r>
        <w:rPr>
          <w:rFonts w:ascii="Times New Roman" w:hAnsi="Times New Roman"/>
          <w:bCs/>
          <w:color w:val="auto"/>
          <w:sz w:val="24"/>
          <w:szCs w:val="24"/>
          <w:lang w:val="ro-RO"/>
        </w:rPr>
        <w:t>și completarea</w:t>
      </w:r>
      <w:r w:rsidRPr="00793C02">
        <w:rPr>
          <w:rFonts w:ascii="Times New Roman" w:hAnsi="Times New Roman"/>
          <w:bCs/>
          <w:color w:val="auto"/>
          <w:sz w:val="24"/>
          <w:szCs w:val="24"/>
          <w:lang w:val="ro-RO"/>
        </w:rPr>
        <w:t xml:space="preserve"> Regulamentului privind stabilirea grupelor de terenuri care intră în perimetrele de ameliorare, funcţionarea şi atribuţiile comisiilor de specialişti, constituite pentru delimitarea perimetrelor de ameliorare, aprobat prin Hotărârea Guvernului nr. 1257/2011</w:t>
      </w:r>
      <w:r>
        <w:rPr>
          <w:rFonts w:ascii="Times New Roman" w:hAnsi="Times New Roman"/>
          <w:color w:val="auto"/>
          <w:sz w:val="24"/>
          <w:szCs w:val="24"/>
          <w:lang w:val="ro-RO"/>
        </w:rPr>
        <w:t>,</w:t>
      </w:r>
      <w:r w:rsidRPr="00E471EF">
        <w:rPr>
          <w:rFonts w:ascii="Times New Roman" w:hAnsi="Times New Roman"/>
          <w:color w:val="auto"/>
          <w:sz w:val="24"/>
          <w:szCs w:val="24"/>
          <w:lang w:val="ro-RO"/>
        </w:rPr>
        <w:t xml:space="preserve"> </w:t>
      </w:r>
      <w:r w:rsidRPr="00B769A1">
        <w:rPr>
          <w:rFonts w:ascii="Times New Roman" w:hAnsi="Times New Roman"/>
          <w:color w:val="auto"/>
          <w:sz w:val="24"/>
          <w:szCs w:val="24"/>
          <w:lang w:val="ro-RO"/>
        </w:rPr>
        <w:t xml:space="preserve">care în forma prezentată a fost avizat de către ministerele interesate şi de Consiliul Legislativ şi pe care îl supunem spre adoptare. </w:t>
      </w:r>
    </w:p>
    <w:p w14:paraId="3C1B393A" w14:textId="77777777" w:rsidR="00262EE8" w:rsidRPr="00B769A1" w:rsidRDefault="00262EE8" w:rsidP="00262EE8">
      <w:pPr>
        <w:spacing w:line="276" w:lineRule="auto"/>
        <w:jc w:val="both"/>
        <w:rPr>
          <w:rFonts w:ascii="Times New Roman" w:hAnsi="Times New Roman"/>
          <w:b/>
          <w:color w:val="auto"/>
          <w:sz w:val="24"/>
          <w:szCs w:val="24"/>
          <w:lang w:val="ro-RO"/>
        </w:rPr>
      </w:pPr>
    </w:p>
    <w:p w14:paraId="7B6F2A54" w14:textId="77777777" w:rsidR="00262EE8" w:rsidRPr="00B769A1" w:rsidRDefault="00262EE8" w:rsidP="00262EE8">
      <w:pPr>
        <w:spacing w:line="276" w:lineRule="auto"/>
        <w:rPr>
          <w:rFonts w:ascii="Times New Roman" w:hAnsi="Times New Roman"/>
          <w:b/>
          <w:color w:val="auto"/>
          <w:sz w:val="24"/>
          <w:szCs w:val="24"/>
          <w:lang w:val="ro-RO"/>
        </w:rPr>
      </w:pPr>
    </w:p>
    <w:p w14:paraId="72B7C48F" w14:textId="77777777" w:rsidR="00262EE8" w:rsidRPr="00B769A1" w:rsidRDefault="00262EE8" w:rsidP="00262EE8">
      <w:pPr>
        <w:spacing w:line="276" w:lineRule="auto"/>
        <w:rPr>
          <w:rFonts w:ascii="Times New Roman" w:hAnsi="Times New Roman"/>
          <w:b/>
          <w:color w:val="auto"/>
          <w:sz w:val="24"/>
          <w:szCs w:val="24"/>
          <w:lang w:val="ro-RO"/>
        </w:rPr>
      </w:pPr>
    </w:p>
    <w:p w14:paraId="0EFC9F75" w14:textId="77777777" w:rsidR="00262EE8" w:rsidRDefault="00262EE8" w:rsidP="00262EE8">
      <w:pPr>
        <w:spacing w:line="360" w:lineRule="auto"/>
        <w:jc w:val="center"/>
        <w:outlineLvl w:val="0"/>
        <w:rPr>
          <w:rFonts w:ascii="Times New Roman" w:hAnsi="Times New Roman"/>
          <w:b/>
          <w:color w:val="auto"/>
          <w:sz w:val="24"/>
          <w:szCs w:val="24"/>
          <w:lang w:val="ro-RO"/>
        </w:rPr>
      </w:pPr>
      <w:r w:rsidRPr="00B769A1">
        <w:rPr>
          <w:rFonts w:ascii="Times New Roman" w:hAnsi="Times New Roman"/>
          <w:b/>
          <w:color w:val="auto"/>
          <w:sz w:val="24"/>
          <w:szCs w:val="24"/>
          <w:lang w:val="ro-RO"/>
        </w:rPr>
        <w:t>MINISTRUL MEDIULUI</w:t>
      </w:r>
      <w:r>
        <w:rPr>
          <w:rFonts w:ascii="Times New Roman" w:hAnsi="Times New Roman"/>
          <w:b/>
          <w:color w:val="auto"/>
          <w:sz w:val="24"/>
          <w:szCs w:val="24"/>
          <w:lang w:val="ro-RO"/>
        </w:rPr>
        <w:t xml:space="preserve">,  APELOR    ȘI  PĂDURILOR </w:t>
      </w:r>
    </w:p>
    <w:p w14:paraId="0C7E0893" w14:textId="77777777" w:rsidR="00262EE8" w:rsidRDefault="00262EE8" w:rsidP="00262EE8">
      <w:pPr>
        <w:spacing w:line="360" w:lineRule="auto"/>
        <w:jc w:val="center"/>
        <w:outlineLvl w:val="0"/>
        <w:rPr>
          <w:rFonts w:ascii="Times New Roman" w:hAnsi="Times New Roman"/>
          <w:b/>
          <w:color w:val="auto"/>
          <w:sz w:val="24"/>
          <w:szCs w:val="24"/>
          <w:lang w:val="ro-RO"/>
        </w:rPr>
      </w:pPr>
    </w:p>
    <w:p w14:paraId="5A1BA44D" w14:textId="77777777" w:rsidR="00262EE8" w:rsidRPr="00B769A1" w:rsidRDefault="00262EE8" w:rsidP="00262EE8">
      <w:pPr>
        <w:spacing w:line="360" w:lineRule="auto"/>
        <w:jc w:val="center"/>
        <w:rPr>
          <w:rFonts w:ascii="Times New Roman" w:hAnsi="Times New Roman"/>
          <w:b/>
          <w:color w:val="auto"/>
          <w:sz w:val="24"/>
          <w:szCs w:val="24"/>
          <w:lang w:val="ro-RO"/>
        </w:rPr>
      </w:pPr>
      <w:r w:rsidRPr="00C71E09">
        <w:rPr>
          <w:rFonts w:ascii="Times New Roman" w:hAnsi="Times New Roman"/>
          <w:b/>
          <w:color w:val="auto"/>
          <w:sz w:val="24"/>
          <w:szCs w:val="24"/>
          <w:lang w:val="ro-RO"/>
        </w:rPr>
        <w:t>Barna</w:t>
      </w:r>
      <w:r>
        <w:rPr>
          <w:rFonts w:ascii="Times New Roman" w:hAnsi="Times New Roman"/>
          <w:b/>
          <w:color w:val="auto"/>
          <w:sz w:val="24"/>
          <w:szCs w:val="24"/>
          <w:lang w:val="ro-RO"/>
        </w:rPr>
        <w:t xml:space="preserve"> </w:t>
      </w:r>
      <w:r w:rsidRPr="00C71E09">
        <w:rPr>
          <w:rFonts w:ascii="Times New Roman" w:hAnsi="Times New Roman"/>
          <w:b/>
          <w:color w:val="auto"/>
          <w:sz w:val="24"/>
          <w:szCs w:val="24"/>
          <w:lang w:val="ro-RO"/>
        </w:rPr>
        <w:t>TÁNCZOS</w:t>
      </w:r>
    </w:p>
    <w:p w14:paraId="717B00F3" w14:textId="77777777" w:rsidR="00262EE8" w:rsidRPr="00B769A1" w:rsidRDefault="00262EE8" w:rsidP="00262EE8">
      <w:pPr>
        <w:spacing w:line="360" w:lineRule="auto"/>
        <w:jc w:val="center"/>
        <w:rPr>
          <w:rFonts w:ascii="Times New Roman" w:hAnsi="Times New Roman"/>
          <w:b/>
          <w:color w:val="auto"/>
          <w:sz w:val="24"/>
          <w:szCs w:val="24"/>
          <w:lang w:val="ro-RO"/>
        </w:rPr>
      </w:pPr>
    </w:p>
    <w:p w14:paraId="16E06876" w14:textId="77777777" w:rsidR="00262EE8" w:rsidRDefault="00262EE8" w:rsidP="00262EE8">
      <w:pPr>
        <w:spacing w:line="360" w:lineRule="auto"/>
        <w:jc w:val="center"/>
        <w:outlineLvl w:val="0"/>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Avizăm </w:t>
      </w:r>
    </w:p>
    <w:p w14:paraId="3A1425D9" w14:textId="77777777" w:rsidR="00262EE8" w:rsidRDefault="00262EE8" w:rsidP="00262EE8">
      <w:pPr>
        <w:spacing w:line="360" w:lineRule="auto"/>
        <w:outlineLvl w:val="0"/>
        <w:rPr>
          <w:rFonts w:ascii="Times New Roman" w:hAnsi="Times New Roman"/>
          <w:b/>
          <w:color w:val="auto"/>
          <w:sz w:val="24"/>
          <w:szCs w:val="24"/>
          <w:lang w:val="ro-RO"/>
        </w:rPr>
      </w:pPr>
    </w:p>
    <w:p w14:paraId="31FCCB67" w14:textId="77777777" w:rsidR="00262EE8" w:rsidRDefault="00262EE8" w:rsidP="00262EE8">
      <w:pPr>
        <w:spacing w:line="360" w:lineRule="auto"/>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VICEPRIM – MINISTRU</w:t>
      </w:r>
    </w:p>
    <w:p w14:paraId="4A13F287" w14:textId="77777777" w:rsidR="00262EE8" w:rsidRDefault="00262EE8" w:rsidP="00262EE8">
      <w:pPr>
        <w:spacing w:line="360" w:lineRule="auto"/>
        <w:jc w:val="center"/>
        <w:outlineLvl w:val="0"/>
        <w:rPr>
          <w:rFonts w:ascii="Times New Roman" w:hAnsi="Times New Roman"/>
          <w:b/>
          <w:color w:val="auto"/>
          <w:sz w:val="24"/>
          <w:szCs w:val="24"/>
          <w:lang w:val="ro-RO"/>
        </w:rPr>
      </w:pPr>
    </w:p>
    <w:p w14:paraId="7A4C0326" w14:textId="77777777" w:rsidR="00262EE8" w:rsidRPr="00B769A1" w:rsidRDefault="00262EE8" w:rsidP="00262EE8">
      <w:pPr>
        <w:spacing w:line="360" w:lineRule="auto"/>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Hunor  KELEMEN</w:t>
      </w:r>
    </w:p>
    <w:p w14:paraId="5121CE67" w14:textId="77777777" w:rsidR="00262EE8" w:rsidRPr="00B769A1" w:rsidRDefault="00262EE8" w:rsidP="00262EE8">
      <w:pPr>
        <w:spacing w:line="360" w:lineRule="auto"/>
        <w:rPr>
          <w:rFonts w:ascii="Times New Roman" w:hAnsi="Times New Roman"/>
          <w:color w:val="auto"/>
          <w:sz w:val="24"/>
          <w:szCs w:val="24"/>
          <w:lang w:val="ro-RO"/>
        </w:rPr>
      </w:pPr>
    </w:p>
    <w:p w14:paraId="18F81A2A" w14:textId="77777777" w:rsidR="00262EE8" w:rsidRPr="00B769A1" w:rsidRDefault="00262EE8" w:rsidP="00262EE8">
      <w:pPr>
        <w:spacing w:line="360" w:lineRule="auto"/>
        <w:rPr>
          <w:rFonts w:ascii="Times New Roman" w:hAnsi="Times New Roman"/>
          <w:b/>
          <w:color w:val="auto"/>
          <w:sz w:val="24"/>
          <w:szCs w:val="24"/>
          <w:lang w:val="ro-RO"/>
        </w:rPr>
      </w:pPr>
    </w:p>
    <w:p w14:paraId="01108172" w14:textId="77777777" w:rsidR="00262EE8" w:rsidRPr="00B769A1" w:rsidRDefault="00262EE8" w:rsidP="00262EE8">
      <w:pPr>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MINISTRUL AGRICULTURII ŞI                                MINISTRU</w:t>
      </w:r>
      <w:r>
        <w:rPr>
          <w:rFonts w:ascii="Times New Roman" w:hAnsi="Times New Roman"/>
          <w:b/>
          <w:color w:val="auto"/>
          <w:sz w:val="24"/>
          <w:szCs w:val="24"/>
          <w:lang w:val="ro-RO"/>
        </w:rPr>
        <w:t xml:space="preserve">L  FINANȚELOR </w:t>
      </w:r>
      <w:r w:rsidRPr="00B769A1">
        <w:rPr>
          <w:rFonts w:ascii="Times New Roman" w:hAnsi="Times New Roman"/>
          <w:b/>
          <w:color w:val="auto"/>
          <w:sz w:val="24"/>
          <w:szCs w:val="24"/>
          <w:lang w:val="ro-RO"/>
        </w:rPr>
        <w:t xml:space="preserve">    </w:t>
      </w:r>
    </w:p>
    <w:p w14:paraId="7142B120" w14:textId="77777777" w:rsidR="00262EE8" w:rsidRPr="00B769A1" w:rsidRDefault="00262EE8" w:rsidP="00262EE8">
      <w:pPr>
        <w:spacing w:line="360" w:lineRule="auto"/>
        <w:rPr>
          <w:rFonts w:ascii="Times New Roman" w:hAnsi="Times New Roman"/>
          <w:b/>
          <w:color w:val="auto"/>
          <w:sz w:val="24"/>
          <w:szCs w:val="24"/>
          <w:lang w:val="ro-RO"/>
        </w:rPr>
      </w:pPr>
      <w:r w:rsidRPr="00B769A1">
        <w:rPr>
          <w:rFonts w:ascii="Times New Roman" w:hAnsi="Times New Roman"/>
          <w:b/>
          <w:color w:val="auto"/>
          <w:sz w:val="24"/>
          <w:szCs w:val="24"/>
          <w:lang w:val="ro-RO"/>
        </w:rPr>
        <w:t xml:space="preserve">       DEZVOLTĂRII RURALE</w:t>
      </w:r>
      <w:r w:rsidRPr="00B769A1">
        <w:rPr>
          <w:rFonts w:ascii="Times New Roman" w:hAnsi="Times New Roman"/>
          <w:b/>
          <w:color w:val="auto"/>
          <w:sz w:val="24"/>
          <w:szCs w:val="24"/>
          <w:lang w:val="ro-RO"/>
        </w:rPr>
        <w:tab/>
        <w:t xml:space="preserve">                      </w:t>
      </w:r>
      <w:r>
        <w:rPr>
          <w:rFonts w:ascii="Times New Roman" w:hAnsi="Times New Roman"/>
          <w:b/>
          <w:color w:val="auto"/>
          <w:sz w:val="24"/>
          <w:szCs w:val="24"/>
          <w:lang w:val="ro-RO"/>
        </w:rPr>
        <w:t xml:space="preserve">                         </w:t>
      </w:r>
    </w:p>
    <w:p w14:paraId="26921A1B" w14:textId="77777777" w:rsidR="00262EE8" w:rsidRPr="00B769A1" w:rsidRDefault="00262EE8" w:rsidP="00262EE8">
      <w:pPr>
        <w:spacing w:line="360" w:lineRule="auto"/>
        <w:jc w:val="center"/>
        <w:rPr>
          <w:rFonts w:ascii="Times New Roman" w:hAnsi="Times New Roman"/>
          <w:color w:val="auto"/>
          <w:sz w:val="24"/>
          <w:szCs w:val="24"/>
          <w:lang w:val="ro-RO"/>
        </w:rPr>
      </w:pPr>
    </w:p>
    <w:p w14:paraId="4E003807" w14:textId="77777777" w:rsidR="00262EE8" w:rsidRPr="0058651A" w:rsidRDefault="00262EE8" w:rsidP="00262EE8">
      <w:pPr>
        <w:spacing w:line="360" w:lineRule="auto"/>
        <w:jc w:val="both"/>
        <w:rPr>
          <w:rFonts w:ascii="Times New Roman" w:hAnsi="Times New Roman"/>
          <w:b/>
          <w:bCs/>
          <w:color w:val="auto"/>
          <w:sz w:val="24"/>
          <w:szCs w:val="24"/>
          <w:lang w:val="ro-RO"/>
        </w:rPr>
      </w:pPr>
      <w:r w:rsidRPr="0058651A">
        <w:rPr>
          <w:rFonts w:ascii="Times New Roman" w:hAnsi="Times New Roman"/>
          <w:b/>
          <w:bCs/>
          <w:color w:val="auto"/>
          <w:sz w:val="24"/>
          <w:szCs w:val="24"/>
          <w:lang w:val="ro-RO"/>
        </w:rPr>
        <w:t xml:space="preserve">        Nechita – Adrian OROS                                                Alexandru NAZARE</w:t>
      </w:r>
    </w:p>
    <w:p w14:paraId="7972438D" w14:textId="77777777" w:rsidR="00262EE8" w:rsidRPr="00B769A1" w:rsidRDefault="00262EE8" w:rsidP="00262EE8">
      <w:pPr>
        <w:spacing w:line="360" w:lineRule="auto"/>
        <w:jc w:val="right"/>
        <w:rPr>
          <w:rFonts w:ascii="Times New Roman" w:hAnsi="Times New Roman"/>
          <w:color w:val="auto"/>
          <w:sz w:val="24"/>
          <w:szCs w:val="24"/>
          <w:lang w:val="ro-RO"/>
        </w:rPr>
      </w:pPr>
    </w:p>
    <w:p w14:paraId="2F965E5A" w14:textId="77777777" w:rsidR="00262EE8" w:rsidRPr="00B769A1" w:rsidRDefault="00262EE8" w:rsidP="00262EE8">
      <w:pPr>
        <w:spacing w:line="360" w:lineRule="auto"/>
        <w:jc w:val="right"/>
        <w:rPr>
          <w:rFonts w:ascii="Times New Roman" w:hAnsi="Times New Roman"/>
          <w:color w:val="auto"/>
          <w:sz w:val="24"/>
          <w:szCs w:val="24"/>
          <w:lang w:val="ro-RO"/>
        </w:rPr>
      </w:pPr>
    </w:p>
    <w:p w14:paraId="36AE6C5A" w14:textId="77777777" w:rsidR="00262EE8" w:rsidRPr="00C20882" w:rsidRDefault="00262EE8" w:rsidP="00262EE8">
      <w:pPr>
        <w:pStyle w:val="Heading2"/>
        <w:spacing w:line="360" w:lineRule="auto"/>
        <w:jc w:val="both"/>
        <w:rPr>
          <w:rFonts w:ascii="Times New Roman" w:hAnsi="Times New Roman"/>
          <w:bCs w:val="0"/>
          <w:i w:val="0"/>
          <w:iCs w:val="0"/>
          <w:sz w:val="24"/>
          <w:szCs w:val="24"/>
          <w:lang w:val="ro-RO"/>
        </w:rPr>
      </w:pPr>
      <w:r w:rsidRPr="00B769A1">
        <w:rPr>
          <w:rFonts w:ascii="Times New Roman" w:hAnsi="Times New Roman"/>
          <w:b w:val="0"/>
          <w:sz w:val="24"/>
          <w:szCs w:val="24"/>
          <w:lang w:val="ro-RO"/>
        </w:rPr>
        <w:t xml:space="preserve">    </w:t>
      </w:r>
      <w:r w:rsidRPr="00B769A1">
        <w:rPr>
          <w:rFonts w:ascii="Times New Roman" w:hAnsi="Times New Roman"/>
          <w:i w:val="0"/>
          <w:sz w:val="24"/>
          <w:szCs w:val="24"/>
          <w:lang w:val="ro-RO"/>
        </w:rPr>
        <w:t xml:space="preserve">MINISTRUL </w:t>
      </w:r>
      <w:r>
        <w:rPr>
          <w:rFonts w:ascii="Times New Roman" w:hAnsi="Times New Roman"/>
          <w:i w:val="0"/>
          <w:sz w:val="24"/>
          <w:szCs w:val="24"/>
          <w:lang w:val="ro-RO"/>
        </w:rPr>
        <w:t xml:space="preserve">AFACERILOR </w:t>
      </w:r>
      <w:r w:rsidRPr="00B769A1">
        <w:rPr>
          <w:rFonts w:ascii="Times New Roman" w:hAnsi="Times New Roman"/>
          <w:b w:val="0"/>
          <w:sz w:val="24"/>
          <w:szCs w:val="24"/>
          <w:lang w:val="ro-RO"/>
        </w:rPr>
        <w:t xml:space="preserve">                               </w:t>
      </w:r>
      <w:r>
        <w:rPr>
          <w:rFonts w:ascii="Times New Roman" w:hAnsi="Times New Roman"/>
          <w:b w:val="0"/>
          <w:sz w:val="24"/>
          <w:szCs w:val="24"/>
          <w:lang w:val="ro-RO"/>
        </w:rPr>
        <w:t xml:space="preserve">     </w:t>
      </w:r>
      <w:r w:rsidRPr="00B769A1">
        <w:rPr>
          <w:rFonts w:ascii="Times New Roman" w:hAnsi="Times New Roman"/>
          <w:b w:val="0"/>
          <w:sz w:val="24"/>
          <w:szCs w:val="24"/>
          <w:lang w:val="ro-RO"/>
        </w:rPr>
        <w:t xml:space="preserve"> </w:t>
      </w:r>
      <w:r w:rsidRPr="00B769A1">
        <w:rPr>
          <w:rFonts w:ascii="Times New Roman" w:hAnsi="Times New Roman"/>
          <w:i w:val="0"/>
          <w:sz w:val="24"/>
          <w:szCs w:val="24"/>
          <w:lang w:val="ro-RO"/>
        </w:rPr>
        <w:t xml:space="preserve">MINISTRUL </w:t>
      </w:r>
      <w:r>
        <w:rPr>
          <w:rFonts w:ascii="Times New Roman" w:hAnsi="Times New Roman"/>
          <w:i w:val="0"/>
          <w:sz w:val="24"/>
          <w:szCs w:val="24"/>
          <w:lang w:val="ro-RO"/>
        </w:rPr>
        <w:t xml:space="preserve">APĂRĂRII </w:t>
      </w:r>
      <w:r w:rsidRPr="00B769A1">
        <w:rPr>
          <w:rFonts w:ascii="Times New Roman" w:hAnsi="Times New Roman"/>
          <w:b w:val="0"/>
          <w:sz w:val="24"/>
          <w:szCs w:val="24"/>
          <w:lang w:val="ro-RO"/>
        </w:rPr>
        <w:t xml:space="preserve">                                                        </w:t>
      </w:r>
      <w:r>
        <w:rPr>
          <w:rFonts w:ascii="Times New Roman" w:hAnsi="Times New Roman"/>
          <w:b w:val="0"/>
          <w:sz w:val="24"/>
          <w:szCs w:val="24"/>
          <w:lang w:val="ro-RO"/>
        </w:rPr>
        <w:t xml:space="preserve">           </w:t>
      </w:r>
    </w:p>
    <w:p w14:paraId="5C7F8160" w14:textId="77777777" w:rsidR="00262EE8" w:rsidRPr="00B769A1" w:rsidRDefault="00262EE8" w:rsidP="00262EE8">
      <w:pPr>
        <w:spacing w:line="360" w:lineRule="auto"/>
        <w:rPr>
          <w:rFonts w:ascii="Times New Roman" w:hAnsi="Times New Roman"/>
          <w:b/>
          <w:color w:val="auto"/>
          <w:sz w:val="24"/>
          <w:szCs w:val="24"/>
          <w:lang w:val="ro-RO"/>
        </w:rPr>
      </w:pPr>
      <w:r>
        <w:rPr>
          <w:rFonts w:ascii="Times New Roman" w:hAnsi="Times New Roman"/>
          <w:b/>
          <w:color w:val="auto"/>
          <w:sz w:val="24"/>
          <w:szCs w:val="24"/>
          <w:lang w:val="ro-RO"/>
        </w:rPr>
        <w:t xml:space="preserve">                  INTERNE                                                                  NAȚIONALE</w:t>
      </w:r>
    </w:p>
    <w:p w14:paraId="2293210F" w14:textId="77777777" w:rsidR="00262EE8" w:rsidRPr="0058651A" w:rsidRDefault="00262EE8" w:rsidP="00262EE8">
      <w:pPr>
        <w:pStyle w:val="Heading2"/>
        <w:spacing w:before="360" w:line="360" w:lineRule="auto"/>
        <w:rPr>
          <w:rFonts w:ascii="Times New Roman" w:hAnsi="Times New Roman"/>
          <w:bCs w:val="0"/>
          <w:i w:val="0"/>
          <w:sz w:val="24"/>
          <w:szCs w:val="24"/>
          <w:lang w:val="ro-RO"/>
        </w:rPr>
      </w:pPr>
      <w:r w:rsidRPr="0058651A">
        <w:rPr>
          <w:rFonts w:ascii="Times New Roman" w:hAnsi="Times New Roman"/>
          <w:bCs w:val="0"/>
          <w:i w:val="0"/>
          <w:sz w:val="24"/>
          <w:szCs w:val="24"/>
          <w:lang w:val="ro-RO"/>
        </w:rPr>
        <w:t xml:space="preserve">          Lucian Nicolae BODE                                              Nicolae – Ionel  CIUCĂ                 </w:t>
      </w:r>
    </w:p>
    <w:p w14:paraId="0168067C" w14:textId="77777777" w:rsidR="00262EE8" w:rsidRPr="00B769A1" w:rsidRDefault="00262EE8" w:rsidP="00262EE8">
      <w:pPr>
        <w:rPr>
          <w:rFonts w:ascii="Times New Roman" w:hAnsi="Times New Roman"/>
          <w:color w:val="auto"/>
          <w:sz w:val="24"/>
          <w:szCs w:val="24"/>
          <w:lang w:val="ro-RO"/>
        </w:rPr>
      </w:pPr>
    </w:p>
    <w:p w14:paraId="0ECD61D9" w14:textId="77777777" w:rsidR="00262EE8" w:rsidRPr="00B769A1" w:rsidRDefault="00262EE8" w:rsidP="00262EE8">
      <w:pPr>
        <w:spacing w:line="360" w:lineRule="auto"/>
        <w:jc w:val="both"/>
        <w:rPr>
          <w:rFonts w:ascii="Times New Roman" w:hAnsi="Times New Roman"/>
          <w:color w:val="auto"/>
          <w:sz w:val="24"/>
          <w:szCs w:val="24"/>
          <w:lang w:val="ro-RO"/>
        </w:rPr>
      </w:pPr>
    </w:p>
    <w:p w14:paraId="782F680B" w14:textId="77777777" w:rsidR="00262EE8" w:rsidRPr="00B56025" w:rsidRDefault="00262EE8" w:rsidP="00262EE8">
      <w:pPr>
        <w:spacing w:line="360" w:lineRule="auto"/>
        <w:jc w:val="center"/>
        <w:rPr>
          <w:rFonts w:ascii="Times New Roman" w:hAnsi="Times New Roman"/>
          <w:b/>
          <w:bCs/>
          <w:color w:val="auto"/>
          <w:sz w:val="24"/>
          <w:szCs w:val="24"/>
          <w:lang w:val="ro-RO"/>
        </w:rPr>
      </w:pPr>
      <w:r w:rsidRPr="00B56025">
        <w:rPr>
          <w:rFonts w:ascii="Times New Roman" w:hAnsi="Times New Roman"/>
          <w:b/>
          <w:bCs/>
          <w:color w:val="auto"/>
          <w:sz w:val="24"/>
          <w:szCs w:val="24"/>
          <w:lang w:val="ro-RO"/>
        </w:rPr>
        <w:t>MINISTRUL JUSTIȚIEI</w:t>
      </w:r>
    </w:p>
    <w:p w14:paraId="4DB76BC3" w14:textId="77777777" w:rsidR="00262EE8" w:rsidRPr="00B56025" w:rsidRDefault="00262EE8" w:rsidP="00262EE8">
      <w:pPr>
        <w:spacing w:line="360" w:lineRule="auto"/>
        <w:jc w:val="center"/>
        <w:rPr>
          <w:rFonts w:ascii="Times New Roman" w:hAnsi="Times New Roman"/>
          <w:b/>
          <w:bCs/>
          <w:color w:val="auto"/>
          <w:sz w:val="24"/>
          <w:szCs w:val="24"/>
          <w:lang w:val="ro-RO"/>
        </w:rPr>
      </w:pPr>
    </w:p>
    <w:p w14:paraId="10AE0085" w14:textId="77777777" w:rsidR="00262EE8" w:rsidRPr="00B56025" w:rsidRDefault="00262EE8" w:rsidP="00262EE8">
      <w:pPr>
        <w:spacing w:line="360" w:lineRule="auto"/>
        <w:jc w:val="center"/>
        <w:rPr>
          <w:rFonts w:ascii="Times New Roman" w:hAnsi="Times New Roman"/>
          <w:b/>
          <w:bCs/>
          <w:color w:val="auto"/>
          <w:sz w:val="24"/>
          <w:szCs w:val="24"/>
          <w:lang w:val="ro-RO"/>
        </w:rPr>
      </w:pPr>
      <w:r w:rsidRPr="00B56025">
        <w:rPr>
          <w:rFonts w:ascii="Times New Roman" w:hAnsi="Times New Roman"/>
          <w:b/>
          <w:bCs/>
          <w:color w:val="auto"/>
          <w:sz w:val="24"/>
          <w:szCs w:val="24"/>
          <w:lang w:val="ro-RO"/>
        </w:rPr>
        <w:t>Stelian – Cristian ION</w:t>
      </w:r>
    </w:p>
    <w:p w14:paraId="7E569846" w14:textId="77777777" w:rsidR="00262EE8" w:rsidRDefault="00262EE8" w:rsidP="00262EE8">
      <w:pPr>
        <w:spacing w:line="360" w:lineRule="auto"/>
        <w:jc w:val="both"/>
        <w:rPr>
          <w:rFonts w:ascii="Times New Roman" w:hAnsi="Times New Roman"/>
          <w:color w:val="auto"/>
          <w:sz w:val="24"/>
          <w:szCs w:val="24"/>
          <w:lang w:val="ro-RO"/>
        </w:rPr>
      </w:pPr>
    </w:p>
    <w:p w14:paraId="5B1CAAD7" w14:textId="77777777" w:rsidR="00262EE8" w:rsidRDefault="00262EE8" w:rsidP="00262EE8">
      <w:pPr>
        <w:spacing w:line="360" w:lineRule="auto"/>
        <w:jc w:val="both"/>
        <w:rPr>
          <w:rFonts w:ascii="Times New Roman" w:hAnsi="Times New Roman"/>
          <w:color w:val="auto"/>
          <w:sz w:val="24"/>
          <w:szCs w:val="24"/>
          <w:lang w:val="ro-RO"/>
        </w:rPr>
      </w:pPr>
    </w:p>
    <w:p w14:paraId="75D2EC38" w14:textId="77777777" w:rsidR="00332A0C" w:rsidRDefault="002D3B63"/>
    <w:sectPr w:rsidR="00332A0C" w:rsidSect="002E6C7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5F29" w14:textId="77777777" w:rsidR="002D3B63" w:rsidRDefault="002D3B63">
      <w:r>
        <w:separator/>
      </w:r>
    </w:p>
  </w:endnote>
  <w:endnote w:type="continuationSeparator" w:id="0">
    <w:p w14:paraId="6F1D2ACD" w14:textId="77777777" w:rsidR="002D3B63" w:rsidRDefault="002D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891B" w14:textId="77777777" w:rsidR="00B66A23" w:rsidRDefault="002D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00EA" w14:textId="77777777" w:rsidR="00B66A23" w:rsidRDefault="002D3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60A" w14:textId="77777777" w:rsidR="00B66A23" w:rsidRDefault="002D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8DCF" w14:textId="77777777" w:rsidR="002D3B63" w:rsidRDefault="002D3B63">
      <w:r>
        <w:separator/>
      </w:r>
    </w:p>
  </w:footnote>
  <w:footnote w:type="continuationSeparator" w:id="0">
    <w:p w14:paraId="5D5369D3" w14:textId="77777777" w:rsidR="002D3B63" w:rsidRDefault="002D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56C" w14:textId="77777777" w:rsidR="00B66A23" w:rsidRDefault="002D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539622"/>
      <w:docPartObj>
        <w:docPartGallery w:val="Watermarks"/>
        <w:docPartUnique/>
      </w:docPartObj>
    </w:sdtPr>
    <w:sdtEndPr/>
    <w:sdtContent>
      <w:p w14:paraId="3697004A" w14:textId="77777777" w:rsidR="00B66A23" w:rsidRDefault="002D3B63">
        <w:pPr>
          <w:pStyle w:val="Header"/>
        </w:pPr>
        <w:r>
          <w:rPr>
            <w:noProof/>
          </w:rPr>
          <w:pict w14:anchorId="0D1F1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5.5pt;height:212.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EC92" w14:textId="77777777" w:rsidR="00B66A23" w:rsidRDefault="002D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E8"/>
    <w:rsid w:val="000438F5"/>
    <w:rsid w:val="00262EE8"/>
    <w:rsid w:val="002D3B63"/>
    <w:rsid w:val="00AD52E2"/>
    <w:rsid w:val="00D358C6"/>
    <w:rsid w:val="00E06A95"/>
    <w:rsid w:val="00E4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D153F"/>
  <w15:chartTrackingRefBased/>
  <w15:docId w15:val="{A0B6177B-A4A8-49EC-9A00-1BCED13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E8"/>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qFormat/>
    <w:rsid w:val="00262EE8"/>
    <w:pPr>
      <w:keepNext/>
      <w:spacing w:before="240" w:after="60"/>
      <w:outlineLvl w:val="1"/>
    </w:pPr>
    <w:rPr>
      <w:rFonts w:ascii="Cambria" w:eastAsia="Times New Roman" w:hAnsi="Cambria"/>
      <w:b/>
      <w:bCs/>
      <w:i/>
      <w:i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EE8"/>
    <w:rPr>
      <w:rFonts w:ascii="Cambria" w:eastAsia="Times New Roman" w:hAnsi="Cambria" w:cs="Times New Roman"/>
      <w:b/>
      <w:bCs/>
      <w:i/>
      <w:iCs/>
      <w:sz w:val="28"/>
      <w:szCs w:val="28"/>
    </w:rPr>
  </w:style>
  <w:style w:type="paragraph" w:styleId="Footer">
    <w:name w:val="footer"/>
    <w:basedOn w:val="Normal"/>
    <w:link w:val="FooterChar"/>
    <w:rsid w:val="00262EE8"/>
    <w:pPr>
      <w:tabs>
        <w:tab w:val="center" w:pos="4320"/>
        <w:tab w:val="right" w:pos="8640"/>
      </w:tabs>
    </w:pPr>
  </w:style>
  <w:style w:type="character" w:customStyle="1" w:styleId="FooterChar">
    <w:name w:val="Footer Char"/>
    <w:basedOn w:val="DefaultParagraphFont"/>
    <w:link w:val="Footer"/>
    <w:rsid w:val="00262EE8"/>
    <w:rPr>
      <w:rFonts w:ascii="Calibri" w:eastAsia="Calibri" w:hAnsi="Calibri" w:cs="Times New Roman"/>
      <w:color w:val="000000"/>
      <w:szCs w:val="20"/>
      <w:lang w:bidi="en-US"/>
    </w:rPr>
  </w:style>
  <w:style w:type="paragraph" w:styleId="Header">
    <w:name w:val="header"/>
    <w:basedOn w:val="Normal"/>
    <w:link w:val="HeaderChar"/>
    <w:uiPriority w:val="99"/>
    <w:unhideWhenUsed/>
    <w:rsid w:val="00262EE8"/>
    <w:pPr>
      <w:tabs>
        <w:tab w:val="center" w:pos="4680"/>
        <w:tab w:val="right" w:pos="9360"/>
      </w:tabs>
    </w:pPr>
  </w:style>
  <w:style w:type="character" w:customStyle="1" w:styleId="HeaderChar">
    <w:name w:val="Header Char"/>
    <w:basedOn w:val="DefaultParagraphFont"/>
    <w:link w:val="Header"/>
    <w:uiPriority w:val="99"/>
    <w:rsid w:val="00262EE8"/>
    <w:rPr>
      <w:rFonts w:ascii="Calibri" w:eastAsia="Calibri" w:hAnsi="Calibri" w:cs="Times New Roman"/>
      <w:color w:val="000000"/>
      <w:szCs w:val="20"/>
      <w:lang w:bidi="en-US"/>
    </w:rPr>
  </w:style>
  <w:style w:type="paragraph" w:styleId="BalloonText">
    <w:name w:val="Balloon Text"/>
    <w:basedOn w:val="Normal"/>
    <w:link w:val="BalloonTextChar"/>
    <w:uiPriority w:val="99"/>
    <w:semiHidden/>
    <w:unhideWhenUsed/>
    <w:rsid w:val="00E0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95"/>
    <w:rPr>
      <w:rFonts w:ascii="Segoe UI" w:eastAsia="Calibri"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Rugina</dc:creator>
  <cp:keywords/>
  <dc:description/>
  <cp:lastModifiedBy>paul ionita</cp:lastModifiedBy>
  <cp:revision>2</cp:revision>
  <cp:lastPrinted>2021-04-27T10:32:00Z</cp:lastPrinted>
  <dcterms:created xsi:type="dcterms:W3CDTF">2021-05-04T06:28:00Z</dcterms:created>
  <dcterms:modified xsi:type="dcterms:W3CDTF">2021-05-04T06:28:00Z</dcterms:modified>
</cp:coreProperties>
</file>