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5A5A3" w14:textId="46FA707A" w:rsidR="006F334F" w:rsidRDefault="00166785" w:rsidP="006F334F">
      <w:pPr>
        <w:jc w:val="both"/>
        <w:rPr>
          <w:rFonts w:ascii="Arial" w:hAnsi="Arial" w:cs="Arial"/>
          <w:b/>
          <w:bCs/>
          <w:sz w:val="28"/>
          <w:szCs w:val="28"/>
        </w:rPr>
      </w:pPr>
      <w:r>
        <w:rPr>
          <w:rFonts w:ascii="Arial" w:hAnsi="Arial" w:cs="Arial"/>
          <w:b/>
          <w:bCs/>
          <w:sz w:val="28"/>
          <w:szCs w:val="28"/>
        </w:rPr>
        <w:t>Anexa O5: Proiecte POIM costuri si stadiu</w:t>
      </w:r>
    </w:p>
    <w:tbl>
      <w:tblPr>
        <w:tblStyle w:val="TableGrid"/>
        <w:tblW w:w="14580" w:type="dxa"/>
        <w:tblInd w:w="-1085" w:type="dxa"/>
        <w:tblLook w:val="04A0" w:firstRow="1" w:lastRow="0" w:firstColumn="1" w:lastColumn="0" w:noHBand="0" w:noVBand="1"/>
      </w:tblPr>
      <w:tblGrid>
        <w:gridCol w:w="3395"/>
        <w:gridCol w:w="2212"/>
        <w:gridCol w:w="8973"/>
      </w:tblGrid>
      <w:tr w:rsidR="00166785" w:rsidRPr="00FA073D" w14:paraId="487B09FC" w14:textId="77777777" w:rsidTr="00166785">
        <w:trPr>
          <w:trHeight w:val="710"/>
        </w:trPr>
        <w:tc>
          <w:tcPr>
            <w:tcW w:w="3420" w:type="dxa"/>
            <w:vAlign w:val="center"/>
          </w:tcPr>
          <w:p w14:paraId="76BC38D9" w14:textId="77777777" w:rsidR="00166785" w:rsidRPr="00B66E8B" w:rsidRDefault="00166785" w:rsidP="00166785">
            <w:pPr>
              <w:spacing w:line="276" w:lineRule="auto"/>
              <w:ind w:left="72" w:right="78"/>
              <w:jc w:val="center"/>
              <w:rPr>
                <w:rFonts w:ascii="Verdana Pro" w:eastAsia="Verdana Pro" w:hAnsi="Verdana Pro" w:cs="Verdana Pro"/>
                <w:b/>
              </w:rPr>
            </w:pPr>
            <w:r w:rsidRPr="2D445782">
              <w:rPr>
                <w:rFonts w:ascii="Verdana Pro" w:eastAsia="Verdana Pro" w:hAnsi="Verdana Pro" w:cs="Verdana Pro"/>
                <w:b/>
              </w:rPr>
              <w:t>PROIECT</w:t>
            </w:r>
          </w:p>
        </w:tc>
        <w:tc>
          <w:tcPr>
            <w:tcW w:w="2070" w:type="dxa"/>
            <w:vAlign w:val="center"/>
          </w:tcPr>
          <w:p w14:paraId="2DDDD565" w14:textId="77777777" w:rsidR="00166785" w:rsidRPr="00E85880" w:rsidRDefault="00166785" w:rsidP="00166785">
            <w:pPr>
              <w:spacing w:line="276" w:lineRule="auto"/>
              <w:ind w:right="72"/>
              <w:jc w:val="center"/>
              <w:rPr>
                <w:rFonts w:ascii="Verdana Pro" w:eastAsia="Verdana Pro" w:hAnsi="Verdana Pro" w:cs="Verdana Pro"/>
                <w:b/>
              </w:rPr>
            </w:pPr>
            <w:r w:rsidRPr="2D445782">
              <w:rPr>
                <w:rFonts w:ascii="Verdana Pro" w:eastAsia="Verdana Pro" w:hAnsi="Verdana Pro" w:cs="Verdana Pro"/>
                <w:b/>
              </w:rPr>
              <w:t>Valoare totala</w:t>
            </w:r>
          </w:p>
          <w:p w14:paraId="32504135" w14:textId="77777777" w:rsidR="00166785" w:rsidRPr="00E85880" w:rsidRDefault="00166785" w:rsidP="00166785">
            <w:pPr>
              <w:spacing w:line="276" w:lineRule="auto"/>
              <w:ind w:right="72"/>
              <w:jc w:val="center"/>
              <w:rPr>
                <w:rFonts w:ascii="Verdana Pro" w:eastAsia="Verdana Pro" w:hAnsi="Verdana Pro" w:cs="Verdana Pro"/>
                <w:b/>
              </w:rPr>
            </w:pPr>
            <w:r w:rsidRPr="2D445782">
              <w:rPr>
                <w:rFonts w:ascii="Verdana Pro" w:eastAsia="Verdana Pro" w:hAnsi="Verdana Pro" w:cs="Verdana Pro"/>
                <w:b/>
              </w:rPr>
              <w:t>Conform contract (lei cu TVA)</w:t>
            </w:r>
          </w:p>
        </w:tc>
        <w:tc>
          <w:tcPr>
            <w:tcW w:w="9090" w:type="dxa"/>
            <w:vAlign w:val="center"/>
          </w:tcPr>
          <w:p w14:paraId="4BE26CF6" w14:textId="77777777" w:rsidR="00166785" w:rsidRPr="00E85880" w:rsidRDefault="00166785" w:rsidP="00166785">
            <w:pPr>
              <w:spacing w:line="276" w:lineRule="auto"/>
              <w:ind w:right="72"/>
              <w:jc w:val="center"/>
              <w:rPr>
                <w:rFonts w:ascii="Verdana Pro" w:eastAsia="Verdana Pro" w:hAnsi="Verdana Pro" w:cs="Verdana Pro"/>
                <w:b/>
                <w:i/>
              </w:rPr>
            </w:pPr>
            <w:r w:rsidRPr="2D445782">
              <w:rPr>
                <w:rFonts w:ascii="Verdana Pro" w:eastAsia="Verdana Pro" w:hAnsi="Verdana Pro" w:cs="Verdana Pro"/>
                <w:b/>
              </w:rPr>
              <w:t>Stadiu</w:t>
            </w:r>
          </w:p>
        </w:tc>
      </w:tr>
      <w:tr w:rsidR="00166785" w:rsidRPr="00FA073D" w14:paraId="3DDEC7F8" w14:textId="77777777" w:rsidTr="00166785">
        <w:trPr>
          <w:trHeight w:val="1250"/>
        </w:trPr>
        <w:tc>
          <w:tcPr>
            <w:tcW w:w="3420" w:type="dxa"/>
            <w:vAlign w:val="center"/>
          </w:tcPr>
          <w:p w14:paraId="333AE29D"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ABA SOMES TISA</w:t>
            </w:r>
          </w:p>
          <w:p w14:paraId="7514613F"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M</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rirea gradului de siguran</w:t>
            </w:r>
            <w:r w:rsidRPr="00B66E8B">
              <w:rPr>
                <w:rFonts w:ascii="Calibri" w:eastAsia="Verdana Pro" w:hAnsi="Calibri" w:cs="Calibri"/>
                <w:b/>
                <w:sz w:val="20"/>
                <w:szCs w:val="20"/>
              </w:rPr>
              <w:t>ță</w:t>
            </w:r>
            <w:r w:rsidRPr="00B66E8B">
              <w:rPr>
                <w:rFonts w:ascii="Verdana Pro" w:eastAsia="Verdana Pro" w:hAnsi="Verdana Pro" w:cs="Verdana Pro"/>
                <w:b/>
                <w:sz w:val="20"/>
                <w:szCs w:val="20"/>
              </w:rPr>
              <w:t xml:space="preserve"> a acumul</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rii Colibi</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a, jude</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ul Bistri</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a N</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s</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ud</w:t>
            </w:r>
          </w:p>
        </w:tc>
        <w:tc>
          <w:tcPr>
            <w:tcW w:w="2070" w:type="dxa"/>
            <w:vAlign w:val="center"/>
          </w:tcPr>
          <w:p w14:paraId="29E3A147"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101.980.254</w:t>
            </w:r>
          </w:p>
        </w:tc>
        <w:tc>
          <w:tcPr>
            <w:tcW w:w="9090" w:type="dxa"/>
          </w:tcPr>
          <w:p w14:paraId="1CAEF025" w14:textId="77777777" w:rsidR="00166785" w:rsidRPr="00774D4C" w:rsidRDefault="00166785" w:rsidP="004C574D">
            <w:pPr>
              <w:numPr>
                <w:ilvl w:val="0"/>
                <w:numId w:val="44"/>
              </w:numPr>
              <w:tabs>
                <w:tab w:val="left" w:pos="360"/>
              </w:tabs>
              <w:spacing w:line="259" w:lineRule="auto"/>
              <w:contextualSpacing/>
              <w:jc w:val="both"/>
              <w:rPr>
                <w:rFonts w:ascii="Verdana Pro" w:eastAsia="Verdana Pro" w:hAnsi="Verdana Pro" w:cs="Verdana Pro"/>
                <w:sz w:val="20"/>
                <w:szCs w:val="20"/>
              </w:rPr>
            </w:pPr>
            <w:r w:rsidRPr="00774D4C">
              <w:rPr>
                <w:rFonts w:ascii="Verdana Pro" w:eastAsia="Verdana Pro" w:hAnsi="Verdana Pro" w:cs="Verdana Pro"/>
                <w:sz w:val="20"/>
                <w:szCs w:val="20"/>
              </w:rPr>
              <w:t xml:space="preserve">Aplicatia de finantare a proiectului a fost depusa spre verificare la Autoritatea de Management. Jaspers a emis Nota de finalizare pozitiva (Action Completion Note) semnata in data de 12 Noiembrie 2021, cu o serie de recomandari a fi preluate de catre Beneficiar si AM POIM. Concluzia ACN este </w:t>
            </w:r>
            <w:r w:rsidRPr="00774D4C">
              <w:rPr>
                <w:rFonts w:ascii="Verdana Pro" w:eastAsia="Verdana Pro" w:hAnsi="Verdana Pro" w:cs="Verdana Pro"/>
                <w:i/>
                <w:sz w:val="20"/>
                <w:szCs w:val="20"/>
              </w:rPr>
              <w:t>„JASPERS recomanda ca proiectul, asa cum este prezentat in Aplicatia de finantare si descris mai sus, sa fie transmis pentru aprobarea finantarii si implementare, in baza asigurarilor Beneficiarului”.</w:t>
            </w:r>
          </w:p>
          <w:p w14:paraId="7E3F7CA0" w14:textId="77777777" w:rsidR="00166785" w:rsidRPr="00774D4C" w:rsidRDefault="00166785" w:rsidP="004C574D">
            <w:pPr>
              <w:numPr>
                <w:ilvl w:val="0"/>
                <w:numId w:val="44"/>
              </w:numPr>
              <w:tabs>
                <w:tab w:val="left" w:pos="360"/>
              </w:tabs>
              <w:spacing w:line="259" w:lineRule="auto"/>
              <w:contextualSpacing/>
              <w:jc w:val="both"/>
              <w:rPr>
                <w:rFonts w:ascii="Verdana Pro" w:eastAsia="Verdana Pro" w:hAnsi="Verdana Pro" w:cs="Verdana Pro"/>
                <w:sz w:val="20"/>
                <w:szCs w:val="20"/>
              </w:rPr>
            </w:pPr>
            <w:r w:rsidRPr="00774D4C">
              <w:rPr>
                <w:rFonts w:ascii="Verdana Pro" w:eastAsia="Verdana Pro" w:hAnsi="Verdana Pro" w:cs="Verdana Pro"/>
                <w:sz w:val="20"/>
                <w:szCs w:val="20"/>
              </w:rPr>
              <w:t>Recomandarile mentionate in Nota de finalizare emisa de Jaspers au fost deja integrate in ultima forma a Aplicatiei de finantare transmisa catre Beneficiar (Ministerul Mediului, Apelor si Padurilor in parteneriat cu ANAR- ABA Somes Tisa) in data de 15.10.2021.</w:t>
            </w:r>
          </w:p>
          <w:p w14:paraId="649D0760" w14:textId="77777777" w:rsidR="00166785" w:rsidRPr="00774D4C" w:rsidRDefault="00166785" w:rsidP="004C574D">
            <w:pPr>
              <w:numPr>
                <w:ilvl w:val="0"/>
                <w:numId w:val="44"/>
              </w:numPr>
              <w:tabs>
                <w:tab w:val="left" w:pos="360"/>
              </w:tabs>
              <w:spacing w:line="259" w:lineRule="auto"/>
              <w:contextualSpacing/>
              <w:jc w:val="both"/>
              <w:rPr>
                <w:rFonts w:ascii="Verdana Pro" w:eastAsia="Verdana Pro" w:hAnsi="Verdana Pro" w:cs="Verdana Pro"/>
                <w:sz w:val="20"/>
                <w:szCs w:val="20"/>
              </w:rPr>
            </w:pPr>
            <w:r w:rsidRPr="00774D4C">
              <w:rPr>
                <w:rFonts w:ascii="Verdana Pro" w:eastAsia="Verdana Pro" w:hAnsi="Verdana Pro" w:cs="Verdana Pro"/>
                <w:sz w:val="20"/>
                <w:szCs w:val="20"/>
              </w:rPr>
              <w:t>Procedura de mediu a fost finalizata prin emiterea Deciziei etapei de incadrare nr. 351/02.08.2021;</w:t>
            </w:r>
          </w:p>
          <w:p w14:paraId="7730D473" w14:textId="77777777" w:rsidR="00166785" w:rsidRPr="00E85880" w:rsidRDefault="00166785" w:rsidP="004C574D">
            <w:pPr>
              <w:tabs>
                <w:tab w:val="left" w:pos="360"/>
              </w:tabs>
              <w:spacing w:line="259" w:lineRule="auto"/>
              <w:contextualSpacing/>
              <w:jc w:val="both"/>
              <w:rPr>
                <w:rFonts w:ascii="Verdana Pro" w:eastAsia="Verdana Pro" w:hAnsi="Verdana Pro" w:cs="Verdana Pro"/>
                <w:b/>
                <w:sz w:val="20"/>
                <w:szCs w:val="20"/>
              </w:rPr>
            </w:pPr>
            <w:r w:rsidRPr="7B61883B">
              <w:rPr>
                <w:rFonts w:ascii="Verdana Pro" w:eastAsia="Verdana Pro" w:hAnsi="Verdana Pro" w:cs="Verdana Pro"/>
                <w:b/>
                <w:sz w:val="20"/>
                <w:szCs w:val="20"/>
              </w:rPr>
              <w:t>Proiect matur</w:t>
            </w:r>
          </w:p>
          <w:p w14:paraId="2753332B" w14:textId="77777777" w:rsidR="00166785" w:rsidRPr="00E85880" w:rsidRDefault="00166785" w:rsidP="004C574D">
            <w:pPr>
              <w:spacing w:line="276" w:lineRule="auto"/>
              <w:ind w:right="72"/>
              <w:rPr>
                <w:rFonts w:ascii="Verdana Pro" w:eastAsia="Verdana Pro" w:hAnsi="Verdana Pro" w:cs="Verdana Pro"/>
                <w:b/>
                <w:sz w:val="20"/>
                <w:szCs w:val="20"/>
              </w:rPr>
            </w:pPr>
            <w:r w:rsidRPr="7B61883B">
              <w:rPr>
                <w:rFonts w:ascii="Verdana Pro" w:eastAsia="Verdana Pro" w:hAnsi="Verdana Pro" w:cs="Verdana Pro"/>
                <w:b/>
                <w:sz w:val="20"/>
                <w:szCs w:val="20"/>
              </w:rPr>
              <w:t>In evaluare finala la AM POIM</w:t>
            </w:r>
          </w:p>
        </w:tc>
      </w:tr>
      <w:tr w:rsidR="00166785" w:rsidRPr="00FA073D" w14:paraId="7AF904F0" w14:textId="77777777" w:rsidTr="00166785">
        <w:trPr>
          <w:trHeight w:val="1931"/>
        </w:trPr>
        <w:tc>
          <w:tcPr>
            <w:tcW w:w="3420" w:type="dxa"/>
            <w:vAlign w:val="center"/>
          </w:tcPr>
          <w:p w14:paraId="26AA5CA6"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ABA SOMES TISA</w:t>
            </w:r>
          </w:p>
          <w:p w14:paraId="70B100D4"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Cre</w:t>
            </w:r>
            <w:r w:rsidRPr="00B66E8B">
              <w:rPr>
                <w:rFonts w:ascii="Calibri" w:eastAsia="Verdana Pro" w:hAnsi="Calibri" w:cs="Calibri"/>
                <w:b/>
                <w:sz w:val="20"/>
                <w:szCs w:val="20"/>
              </w:rPr>
              <w:t>ș</w:t>
            </w:r>
            <w:r w:rsidRPr="00B66E8B">
              <w:rPr>
                <w:rFonts w:ascii="Verdana Pro" w:eastAsia="Verdana Pro" w:hAnsi="Verdana Pro" w:cs="Verdana Pro"/>
                <w:b/>
                <w:sz w:val="20"/>
                <w:szCs w:val="20"/>
              </w:rPr>
              <w:t>terea capacit</w:t>
            </w:r>
            <w:r w:rsidRPr="00B66E8B">
              <w:rPr>
                <w:rFonts w:ascii="Calibri" w:eastAsia="Verdana Pro" w:hAnsi="Calibri" w:cs="Calibri"/>
                <w:b/>
                <w:sz w:val="20"/>
                <w:szCs w:val="20"/>
              </w:rPr>
              <w:t>ăț</w:t>
            </w:r>
            <w:r w:rsidRPr="00B66E8B">
              <w:rPr>
                <w:rFonts w:ascii="Verdana Pro" w:eastAsia="Verdana Pro" w:hAnsi="Verdana Pro" w:cs="Verdana Pro"/>
                <w:b/>
                <w:sz w:val="20"/>
                <w:szCs w:val="20"/>
              </w:rPr>
              <w:t>ii de atenuare a acumul</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rii C</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line</w:t>
            </w:r>
            <w:r w:rsidRPr="00B66E8B">
              <w:rPr>
                <w:rFonts w:ascii="Calibri" w:eastAsia="Verdana Pro" w:hAnsi="Calibri" w:cs="Calibri"/>
                <w:b/>
                <w:sz w:val="20"/>
                <w:szCs w:val="20"/>
              </w:rPr>
              <w:t>ș</w:t>
            </w:r>
            <w:r w:rsidRPr="00B66E8B">
              <w:rPr>
                <w:rFonts w:ascii="Verdana Pro" w:eastAsia="Verdana Pro" w:hAnsi="Verdana Pro" w:cs="Verdana Pro"/>
                <w:b/>
                <w:sz w:val="20"/>
                <w:szCs w:val="20"/>
              </w:rPr>
              <w:t xml:space="preserve">ti </w:t>
            </w:r>
            <w:r w:rsidRPr="00B66E8B">
              <w:rPr>
                <w:rFonts w:ascii="Calibri" w:eastAsia="Verdana Pro" w:hAnsi="Calibri" w:cs="Calibri"/>
                <w:b/>
                <w:sz w:val="20"/>
                <w:szCs w:val="20"/>
              </w:rPr>
              <w:t>ș</w:t>
            </w:r>
            <w:r w:rsidRPr="00B66E8B">
              <w:rPr>
                <w:rFonts w:ascii="Verdana Pro" w:eastAsia="Verdana Pro" w:hAnsi="Verdana Pro" w:cs="Verdana Pro"/>
                <w:b/>
                <w:sz w:val="20"/>
                <w:szCs w:val="20"/>
              </w:rPr>
              <w:t>i de tranzitare a debitelor de viitur</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 xml:space="preserve"> pân</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 xml:space="preserve"> la frontier</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 xml:space="preserve"> cu Republica Ungar</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 Jude</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ul Satu Mare</w:t>
            </w:r>
          </w:p>
        </w:tc>
        <w:tc>
          <w:tcPr>
            <w:tcW w:w="2070" w:type="dxa"/>
            <w:vAlign w:val="center"/>
          </w:tcPr>
          <w:p w14:paraId="5179AB84"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236.032.665,39</w:t>
            </w:r>
          </w:p>
        </w:tc>
        <w:tc>
          <w:tcPr>
            <w:tcW w:w="9090" w:type="dxa"/>
          </w:tcPr>
          <w:p w14:paraId="43B5D360" w14:textId="77777777" w:rsidR="00166785" w:rsidRPr="00704BB9" w:rsidRDefault="00166785" w:rsidP="004C574D">
            <w:pPr>
              <w:numPr>
                <w:ilvl w:val="0"/>
                <w:numId w:val="44"/>
              </w:numPr>
              <w:tabs>
                <w:tab w:val="left" w:pos="360"/>
              </w:tabs>
              <w:spacing w:line="259" w:lineRule="auto"/>
              <w:contextualSpacing/>
              <w:jc w:val="both"/>
              <w:rPr>
                <w:rFonts w:ascii="Verdana Pro" w:eastAsia="Verdana Pro" w:hAnsi="Verdana Pro" w:cs="Verdana Pro"/>
                <w:b/>
                <w:sz w:val="20"/>
                <w:szCs w:val="20"/>
              </w:rPr>
            </w:pPr>
            <w:r w:rsidRPr="7B61883B">
              <w:rPr>
                <w:rFonts w:ascii="Verdana Pro" w:eastAsia="Verdana Pro" w:hAnsi="Verdana Pro" w:cs="Verdana Pro"/>
                <w:sz w:val="20"/>
                <w:szCs w:val="20"/>
                <w:lang w:val="ro"/>
              </w:rPr>
              <w:t>Stadiu mai putin avansat de promovare</w:t>
            </w:r>
            <w:r w:rsidRPr="7B61883B">
              <w:rPr>
                <w:rFonts w:ascii="Verdana Pro" w:eastAsia="Verdana Pro" w:hAnsi="Verdana Pro" w:cs="Verdana Pro"/>
                <w:sz w:val="20"/>
                <w:szCs w:val="20"/>
              </w:rPr>
              <w:t xml:space="preserve"> </w:t>
            </w:r>
          </w:p>
          <w:p w14:paraId="317ADD59" w14:textId="77777777" w:rsidR="00166785" w:rsidRPr="000C2391" w:rsidRDefault="00166785" w:rsidP="004C574D">
            <w:pPr>
              <w:numPr>
                <w:ilvl w:val="0"/>
                <w:numId w:val="44"/>
              </w:numPr>
              <w:tabs>
                <w:tab w:val="left" w:pos="360"/>
              </w:tabs>
              <w:spacing w:line="259" w:lineRule="auto"/>
              <w:contextualSpacing/>
              <w:jc w:val="both"/>
              <w:rPr>
                <w:rFonts w:ascii="Verdana Pro" w:eastAsia="Verdana Pro" w:hAnsi="Verdana Pro" w:cs="Verdana Pro"/>
                <w:sz w:val="20"/>
                <w:szCs w:val="20"/>
                <w:lang w:val="ro"/>
              </w:rPr>
            </w:pPr>
            <w:r w:rsidRPr="7B61883B">
              <w:rPr>
                <w:rFonts w:ascii="Verdana Pro" w:eastAsia="Verdana Pro" w:hAnsi="Verdana Pro" w:cs="Verdana Pro"/>
                <w:sz w:val="20"/>
                <w:szCs w:val="20"/>
                <w:lang w:val="ro"/>
              </w:rPr>
              <w:t>Proiectul cuprinde investi</w:t>
            </w:r>
            <w:r w:rsidRPr="23D25F49">
              <w:rPr>
                <w:rFonts w:ascii="Calibri" w:eastAsia="Verdana Pro" w:hAnsi="Calibri" w:cs="Calibri"/>
                <w:sz w:val="20"/>
                <w:szCs w:val="20"/>
                <w:lang w:val="ro"/>
              </w:rPr>
              <w:t>ț</w:t>
            </w:r>
            <w:r w:rsidRPr="7B61883B">
              <w:rPr>
                <w:rFonts w:ascii="Verdana Pro" w:eastAsia="Verdana Pro" w:hAnsi="Verdana Pro" w:cs="Verdana Pro"/>
                <w:sz w:val="20"/>
                <w:szCs w:val="20"/>
                <w:lang w:val="ro"/>
              </w:rPr>
              <w:t>ii pentru cresterea capacitatii de atenuare a Acumularii Calinesti si tranzitare a debitelor de viitura in conditii de siguranta – pana la frontiera, integrate în politicile schimb</w:t>
            </w:r>
            <w:r w:rsidRPr="23D25F49">
              <w:rPr>
                <w:rFonts w:ascii="Calibri" w:eastAsia="Verdana Pro" w:hAnsi="Calibri" w:cs="Calibri"/>
                <w:sz w:val="20"/>
                <w:szCs w:val="20"/>
                <w:lang w:val="ro"/>
              </w:rPr>
              <w:t>ă</w:t>
            </w:r>
            <w:r w:rsidRPr="7B61883B">
              <w:rPr>
                <w:rFonts w:ascii="Verdana Pro" w:eastAsia="Verdana Pro" w:hAnsi="Verdana Pro" w:cs="Verdana Pro"/>
                <w:sz w:val="20"/>
                <w:szCs w:val="20"/>
                <w:lang w:val="ro"/>
              </w:rPr>
              <w:t>rilor climatice.</w:t>
            </w:r>
          </w:p>
          <w:p w14:paraId="518A6025" w14:textId="77777777" w:rsidR="00166785" w:rsidRPr="00E85880" w:rsidRDefault="00166785" w:rsidP="004C574D">
            <w:pPr>
              <w:spacing w:line="276" w:lineRule="auto"/>
              <w:ind w:right="72"/>
              <w:rPr>
                <w:rFonts w:ascii="Verdana Pro" w:eastAsia="Verdana Pro" w:hAnsi="Verdana Pro" w:cs="Verdana Pro"/>
                <w:b/>
              </w:rPr>
            </w:pPr>
            <w:r w:rsidRPr="68428799">
              <w:rPr>
                <w:rFonts w:ascii="Verdana Pro" w:eastAsia="Verdana Pro" w:hAnsi="Verdana Pro" w:cs="Verdana Pro"/>
                <w:b/>
              </w:rPr>
              <w:t>Proiect matur</w:t>
            </w:r>
          </w:p>
          <w:p w14:paraId="449749DA" w14:textId="77777777" w:rsidR="00166785" w:rsidRPr="00E85880" w:rsidRDefault="00166785" w:rsidP="004C574D">
            <w:pPr>
              <w:spacing w:line="276" w:lineRule="auto"/>
              <w:ind w:right="72"/>
              <w:rPr>
                <w:rFonts w:ascii="Verdana Pro" w:eastAsia="Verdana Pro" w:hAnsi="Verdana Pro" w:cs="Verdana Pro"/>
                <w:b/>
                <w:sz w:val="20"/>
                <w:szCs w:val="20"/>
              </w:rPr>
            </w:pPr>
            <w:r w:rsidRPr="23D25F49">
              <w:rPr>
                <w:rFonts w:ascii="Verdana Pro" w:eastAsia="Verdana Pro" w:hAnsi="Verdana Pro" w:cs="Verdana Pro"/>
                <w:b/>
                <w:i/>
                <w:sz w:val="20"/>
                <w:szCs w:val="20"/>
              </w:rPr>
              <w:t>Nu s-a depus CF</w:t>
            </w:r>
          </w:p>
        </w:tc>
      </w:tr>
      <w:tr w:rsidR="00166785" w:rsidRPr="00FA073D" w14:paraId="0BD4067C" w14:textId="77777777" w:rsidTr="00166785">
        <w:trPr>
          <w:trHeight w:val="710"/>
        </w:trPr>
        <w:tc>
          <w:tcPr>
            <w:tcW w:w="3420" w:type="dxa"/>
            <w:vAlign w:val="center"/>
          </w:tcPr>
          <w:p w14:paraId="3E3F55BC"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ABA MURES</w:t>
            </w:r>
          </w:p>
          <w:p w14:paraId="1EC8F287"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M</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rirea gradului de protec</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ie împotriva inunda</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iilor în B.H. Mure</w:t>
            </w:r>
            <w:r w:rsidRPr="00B66E8B">
              <w:rPr>
                <w:rFonts w:ascii="Calibri" w:eastAsia="Verdana Pro" w:hAnsi="Calibri" w:cs="Calibri"/>
                <w:b/>
                <w:sz w:val="20"/>
                <w:szCs w:val="20"/>
              </w:rPr>
              <w:t>ș</w:t>
            </w:r>
            <w:r w:rsidRPr="00B66E8B">
              <w:rPr>
                <w:rFonts w:ascii="Verdana Pro" w:eastAsia="Verdana Pro" w:hAnsi="Verdana Pro" w:cs="Verdana Pro"/>
                <w:b/>
                <w:sz w:val="20"/>
                <w:szCs w:val="20"/>
              </w:rPr>
              <w:t xml:space="preserve"> prin ridicarea clasei de importan</w:t>
            </w:r>
            <w:r w:rsidRPr="00B66E8B">
              <w:rPr>
                <w:rFonts w:ascii="Calibri" w:eastAsia="Verdana Pro" w:hAnsi="Calibri" w:cs="Calibri"/>
                <w:b/>
                <w:sz w:val="20"/>
                <w:szCs w:val="20"/>
              </w:rPr>
              <w:t>ță</w:t>
            </w:r>
            <w:r w:rsidRPr="00B66E8B">
              <w:rPr>
                <w:rFonts w:ascii="Verdana Pro" w:eastAsia="Verdana Pro" w:hAnsi="Verdana Pro" w:cs="Verdana Pro"/>
                <w:b/>
                <w:sz w:val="20"/>
                <w:szCs w:val="20"/>
              </w:rPr>
              <w:t xml:space="preserve"> a </w:t>
            </w:r>
            <w:r w:rsidRPr="00B66E8B">
              <w:rPr>
                <w:rFonts w:ascii="Verdana Pro" w:eastAsia="Verdana Pro" w:hAnsi="Verdana Pro" w:cs="Verdana Pro"/>
                <w:b/>
                <w:sz w:val="20"/>
                <w:szCs w:val="20"/>
              </w:rPr>
              <w:lastRenderedPageBreak/>
              <w:t>infrastructurii existente de ap</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rare</w:t>
            </w:r>
            <w:r w:rsidRPr="00B66E8B">
              <w:rPr>
                <w:rFonts w:ascii="Verdana Pro" w:eastAsia="Verdana Pro" w:hAnsi="Verdana Pro" w:cs="Verdana Pro"/>
                <w:b/>
                <w:sz w:val="20"/>
                <w:szCs w:val="20"/>
              </w:rPr>
              <w:br w:type="page"/>
            </w:r>
          </w:p>
        </w:tc>
        <w:tc>
          <w:tcPr>
            <w:tcW w:w="2070" w:type="dxa"/>
            <w:vAlign w:val="center"/>
          </w:tcPr>
          <w:p w14:paraId="1E0CE7BB"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lastRenderedPageBreak/>
              <w:t>210.062.382,22</w:t>
            </w:r>
          </w:p>
          <w:p w14:paraId="7022BDBC" w14:textId="77777777" w:rsidR="00166785" w:rsidRPr="00E85880" w:rsidRDefault="00166785" w:rsidP="004C574D">
            <w:pPr>
              <w:spacing w:line="276" w:lineRule="auto"/>
              <w:ind w:right="72"/>
              <w:rPr>
                <w:rFonts w:ascii="Verdana Pro" w:eastAsia="Verdana Pro" w:hAnsi="Verdana Pro" w:cs="Verdana Pro"/>
                <w:b/>
                <w:sz w:val="20"/>
                <w:szCs w:val="20"/>
              </w:rPr>
            </w:pPr>
          </w:p>
        </w:tc>
        <w:tc>
          <w:tcPr>
            <w:tcW w:w="9090" w:type="dxa"/>
          </w:tcPr>
          <w:p w14:paraId="7FD5B61A" w14:textId="77777777" w:rsidR="00166785" w:rsidRPr="00950A21" w:rsidRDefault="00166785" w:rsidP="004C574D">
            <w:pPr>
              <w:numPr>
                <w:ilvl w:val="0"/>
                <w:numId w:val="43"/>
              </w:numPr>
              <w:tabs>
                <w:tab w:val="left" w:pos="720"/>
              </w:tabs>
              <w:spacing w:line="259" w:lineRule="auto"/>
              <w:contextualSpacing/>
              <w:jc w:val="both"/>
              <w:rPr>
                <w:rFonts w:ascii="Verdana Pro" w:eastAsia="Verdana Pro" w:hAnsi="Verdana Pro" w:cs="Verdana Pro"/>
                <w:sz w:val="20"/>
                <w:szCs w:val="20"/>
              </w:rPr>
            </w:pPr>
            <w:r w:rsidRPr="00A6258D">
              <w:rPr>
                <w:rFonts w:ascii="Verdana Pro" w:eastAsia="Verdana Pro" w:hAnsi="Verdana Pro" w:cs="Verdana Pro"/>
                <w:sz w:val="20"/>
                <w:szCs w:val="20"/>
              </w:rPr>
              <w:t xml:space="preserve">Studiul de fezabilitate al proiectului a fost elaborat </w:t>
            </w:r>
            <w:r w:rsidRPr="00A6258D">
              <w:rPr>
                <w:rFonts w:ascii="Calibri" w:eastAsia="Verdana Pro" w:hAnsi="Calibri" w:cs="Calibri"/>
                <w:sz w:val="20"/>
                <w:szCs w:val="20"/>
              </w:rPr>
              <w:t>ș</w:t>
            </w:r>
            <w:r w:rsidRPr="00A6258D">
              <w:rPr>
                <w:rFonts w:ascii="Verdana Pro" w:eastAsia="Verdana Pro" w:hAnsi="Verdana Pro" w:cs="Verdana Pro"/>
                <w:sz w:val="20"/>
                <w:szCs w:val="20"/>
              </w:rPr>
              <w:t>i au fost obtinute toate avizele aferente si a fost aprobat in comisiile tehnico-economice ABAM cu nr. 11/24.08.2021, ANAR cu nr. 93/07.12.2021. Proiectul a fost transmis la AM POS pentru urmand a fi transmis la JASPERS. Nu exist</w:t>
            </w:r>
            <w:r w:rsidRPr="00A6258D">
              <w:rPr>
                <w:rFonts w:ascii="Calibri" w:eastAsia="Verdana Pro" w:hAnsi="Calibri" w:cs="Calibri"/>
                <w:sz w:val="20"/>
                <w:szCs w:val="20"/>
              </w:rPr>
              <w:t>ă</w:t>
            </w:r>
            <w:r w:rsidRPr="00A6258D">
              <w:rPr>
                <w:rFonts w:ascii="Verdana Pro" w:eastAsia="Verdana Pro" w:hAnsi="Verdana Pro" w:cs="Verdana Pro"/>
                <w:sz w:val="20"/>
                <w:szCs w:val="20"/>
              </w:rPr>
              <w:t xml:space="preserve"> înc</w:t>
            </w:r>
            <w:r w:rsidRPr="00A6258D">
              <w:rPr>
                <w:rFonts w:ascii="Calibri" w:eastAsia="Verdana Pro" w:hAnsi="Calibri" w:cs="Calibri"/>
                <w:sz w:val="20"/>
                <w:szCs w:val="20"/>
              </w:rPr>
              <w:t>ă</w:t>
            </w:r>
            <w:r w:rsidRPr="00A6258D">
              <w:rPr>
                <w:rFonts w:ascii="Verdana Pro" w:eastAsia="Verdana Pro" w:hAnsi="Verdana Pro" w:cs="Verdana Pro"/>
                <w:sz w:val="20"/>
                <w:szCs w:val="20"/>
              </w:rPr>
              <w:t xml:space="preserve"> un r</w:t>
            </w:r>
            <w:r w:rsidRPr="00A6258D">
              <w:rPr>
                <w:rFonts w:ascii="Calibri" w:eastAsia="Verdana Pro" w:hAnsi="Calibri" w:cs="Calibri"/>
                <w:sz w:val="20"/>
                <w:szCs w:val="20"/>
              </w:rPr>
              <w:t>ă</w:t>
            </w:r>
            <w:r w:rsidRPr="00A6258D">
              <w:rPr>
                <w:rFonts w:ascii="Verdana Pro" w:eastAsia="Verdana Pro" w:hAnsi="Verdana Pro" w:cs="Verdana Pro"/>
                <w:sz w:val="20"/>
                <w:szCs w:val="20"/>
              </w:rPr>
              <w:t>spuns. Proiectul nu este înc</w:t>
            </w:r>
            <w:r w:rsidRPr="00A6258D">
              <w:rPr>
                <w:rFonts w:ascii="Calibri" w:eastAsia="Verdana Pro" w:hAnsi="Calibri" w:cs="Calibri"/>
                <w:sz w:val="20"/>
                <w:szCs w:val="20"/>
              </w:rPr>
              <w:t>ă</w:t>
            </w:r>
            <w:r w:rsidRPr="00A6258D">
              <w:rPr>
                <w:rFonts w:ascii="Verdana Pro" w:eastAsia="Verdana Pro" w:hAnsi="Verdana Pro" w:cs="Verdana Pro"/>
                <w:sz w:val="20"/>
                <w:szCs w:val="20"/>
              </w:rPr>
              <w:t xml:space="preserve"> programat pentru analiz</w:t>
            </w:r>
            <w:r w:rsidRPr="00A6258D">
              <w:rPr>
                <w:rFonts w:ascii="Calibri" w:eastAsia="Verdana Pro" w:hAnsi="Calibri" w:cs="Calibri"/>
                <w:sz w:val="20"/>
                <w:szCs w:val="20"/>
              </w:rPr>
              <w:t>ă</w:t>
            </w:r>
            <w:r w:rsidRPr="00A6258D">
              <w:rPr>
                <w:rFonts w:ascii="Verdana Pro" w:eastAsia="Verdana Pro" w:hAnsi="Verdana Pro" w:cs="Verdana Pro"/>
                <w:sz w:val="20"/>
                <w:szCs w:val="20"/>
              </w:rPr>
              <w:t xml:space="preserve"> la comisia tehnico-economic</w:t>
            </w:r>
            <w:r w:rsidRPr="00A6258D">
              <w:rPr>
                <w:rFonts w:ascii="Calibri" w:eastAsia="Verdana Pro" w:hAnsi="Calibri" w:cs="Calibri"/>
                <w:sz w:val="20"/>
                <w:szCs w:val="20"/>
              </w:rPr>
              <w:t>ă</w:t>
            </w:r>
            <w:r w:rsidRPr="00A6258D">
              <w:rPr>
                <w:rFonts w:ascii="Verdana Pro" w:eastAsia="Verdana Pro" w:hAnsi="Verdana Pro" w:cs="Verdana Pro"/>
                <w:sz w:val="20"/>
                <w:szCs w:val="20"/>
              </w:rPr>
              <w:t xml:space="preserve"> a MMAP si Consiliu </w:t>
            </w:r>
            <w:r w:rsidRPr="00A6258D">
              <w:rPr>
                <w:rFonts w:ascii="Verdana Pro" w:eastAsia="Verdana Pro" w:hAnsi="Verdana Pro" w:cs="Verdana Pro"/>
                <w:sz w:val="20"/>
                <w:szCs w:val="20"/>
              </w:rPr>
              <w:lastRenderedPageBreak/>
              <w:t xml:space="preserve">Interministerial în vederea emiterii </w:t>
            </w:r>
            <w:r w:rsidRPr="7B61883B">
              <w:rPr>
                <w:rFonts w:ascii="Verdana Pro" w:eastAsia="Verdana Pro" w:hAnsi="Verdana Pro" w:cs="Verdana Pro"/>
                <w:sz w:val="20"/>
                <w:szCs w:val="20"/>
              </w:rPr>
              <w:t>Hotarârii</w:t>
            </w:r>
            <w:r w:rsidRPr="00A6258D">
              <w:rPr>
                <w:rFonts w:ascii="Verdana Pro" w:eastAsia="Verdana Pro" w:hAnsi="Verdana Pro" w:cs="Verdana Pro"/>
                <w:sz w:val="20"/>
                <w:szCs w:val="20"/>
              </w:rPr>
              <w:t xml:space="preserve"> de Guvern pentru aprobarea indicatorilor tehnico - economici;</w:t>
            </w:r>
          </w:p>
          <w:p w14:paraId="44B7F75C" w14:textId="77777777" w:rsidR="00166785" w:rsidRPr="00950A21" w:rsidRDefault="00166785" w:rsidP="004C574D">
            <w:pPr>
              <w:numPr>
                <w:ilvl w:val="0"/>
                <w:numId w:val="43"/>
              </w:numPr>
              <w:tabs>
                <w:tab w:val="left" w:pos="720"/>
              </w:tabs>
              <w:spacing w:line="259" w:lineRule="auto"/>
              <w:contextualSpacing/>
              <w:jc w:val="both"/>
              <w:rPr>
                <w:rFonts w:ascii="Verdana Pro" w:eastAsia="Verdana Pro" w:hAnsi="Verdana Pro" w:cs="Verdana Pro"/>
                <w:sz w:val="20"/>
                <w:szCs w:val="20"/>
              </w:rPr>
            </w:pPr>
            <w:r w:rsidRPr="00A6258D">
              <w:rPr>
                <w:rFonts w:ascii="Verdana Pro" w:eastAsia="Verdana Pro" w:hAnsi="Verdana Pro" w:cs="Verdana Pro"/>
                <w:sz w:val="20"/>
                <w:szCs w:val="20"/>
              </w:rPr>
              <w:t>Procedura de mediu a fost finalizata prin emiterea Acordului de mediu nr. 2/ 27.08.2021;</w:t>
            </w:r>
          </w:p>
          <w:p w14:paraId="60995E42" w14:textId="77777777" w:rsidR="00166785" w:rsidRPr="00E85880" w:rsidRDefault="00166785" w:rsidP="004C574D">
            <w:pPr>
              <w:spacing w:line="276" w:lineRule="auto"/>
              <w:ind w:right="72"/>
              <w:rPr>
                <w:rFonts w:ascii="Verdana Pro" w:eastAsia="Verdana Pro" w:hAnsi="Verdana Pro" w:cs="Verdana Pro"/>
                <w:b/>
                <w:sz w:val="20"/>
                <w:szCs w:val="20"/>
              </w:rPr>
            </w:pPr>
            <w:r w:rsidRPr="7B61883B">
              <w:rPr>
                <w:rFonts w:ascii="Verdana Pro" w:eastAsia="Verdana Pro" w:hAnsi="Verdana Pro" w:cs="Verdana Pro"/>
                <w:b/>
                <w:sz w:val="20"/>
                <w:szCs w:val="20"/>
              </w:rPr>
              <w:t>Proiect matur</w:t>
            </w:r>
          </w:p>
          <w:p w14:paraId="76C20202" w14:textId="77777777" w:rsidR="00166785" w:rsidRPr="00E85880" w:rsidRDefault="00166785" w:rsidP="004C574D">
            <w:pPr>
              <w:spacing w:line="276" w:lineRule="auto"/>
              <w:ind w:right="72"/>
              <w:rPr>
                <w:rFonts w:ascii="Verdana Pro" w:eastAsia="Verdana Pro" w:hAnsi="Verdana Pro" w:cs="Verdana Pro"/>
                <w:b/>
                <w:i/>
                <w:sz w:val="20"/>
                <w:szCs w:val="20"/>
              </w:rPr>
            </w:pPr>
            <w:r w:rsidRPr="7B61883B">
              <w:rPr>
                <w:rFonts w:ascii="Verdana Pro" w:eastAsia="Verdana Pro" w:hAnsi="Verdana Pro" w:cs="Verdana Pro"/>
                <w:b/>
                <w:i/>
                <w:sz w:val="20"/>
                <w:szCs w:val="20"/>
              </w:rPr>
              <w:t>Nu s-a depus CF</w:t>
            </w:r>
          </w:p>
        </w:tc>
      </w:tr>
      <w:tr w:rsidR="00166785" w:rsidRPr="00FA073D" w14:paraId="3E7A9A63" w14:textId="77777777" w:rsidTr="00166785">
        <w:trPr>
          <w:trHeight w:val="1363"/>
        </w:trPr>
        <w:tc>
          <w:tcPr>
            <w:tcW w:w="3420" w:type="dxa"/>
            <w:vAlign w:val="center"/>
          </w:tcPr>
          <w:p w14:paraId="60096AFB" w14:textId="77777777" w:rsidR="00166785" w:rsidRPr="00E85880" w:rsidRDefault="00166785" w:rsidP="004C574D">
            <w:pPr>
              <w:spacing w:line="276" w:lineRule="auto"/>
              <w:ind w:left="72" w:right="78"/>
              <w:rPr>
                <w:rFonts w:ascii="Verdana Pro" w:eastAsia="Verdana Pro" w:hAnsi="Verdana Pro" w:cs="Verdana Pro"/>
                <w:b/>
                <w:sz w:val="20"/>
                <w:szCs w:val="20"/>
              </w:rPr>
            </w:pPr>
            <w:r w:rsidRPr="6B271DC3">
              <w:rPr>
                <w:rFonts w:ascii="Verdana Pro" w:eastAsia="Verdana Pro" w:hAnsi="Verdana Pro" w:cs="Verdana Pro"/>
                <w:b/>
                <w:sz w:val="20"/>
                <w:szCs w:val="20"/>
              </w:rPr>
              <w:lastRenderedPageBreak/>
              <w:t>ABA BANAT</w:t>
            </w:r>
          </w:p>
          <w:p w14:paraId="645A1844"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6B271DC3">
              <w:rPr>
                <w:rFonts w:ascii="Verdana Pro" w:eastAsia="Verdana Pro" w:hAnsi="Verdana Pro" w:cs="Verdana Pro"/>
                <w:b/>
                <w:sz w:val="20"/>
                <w:szCs w:val="20"/>
              </w:rPr>
              <w:t>Amenajare complex</w:t>
            </w:r>
            <w:r w:rsidRPr="6B271DC3">
              <w:rPr>
                <w:rFonts w:ascii="Calibri" w:eastAsia="Verdana Pro" w:hAnsi="Calibri" w:cs="Calibri"/>
                <w:b/>
                <w:sz w:val="20"/>
                <w:szCs w:val="20"/>
              </w:rPr>
              <w:t>ă</w:t>
            </w:r>
            <w:r w:rsidRPr="6B271DC3">
              <w:rPr>
                <w:rFonts w:ascii="Verdana Pro" w:eastAsia="Verdana Pro" w:hAnsi="Verdana Pro" w:cs="Verdana Pro"/>
                <w:b/>
                <w:sz w:val="20"/>
                <w:szCs w:val="20"/>
              </w:rPr>
              <w:t xml:space="preserve"> râu Bârzava </w:t>
            </w:r>
            <w:r w:rsidRPr="6B271DC3">
              <w:rPr>
                <w:rFonts w:ascii="Calibri" w:eastAsia="Verdana Pro" w:hAnsi="Calibri" w:cs="Calibri"/>
                <w:b/>
                <w:sz w:val="20"/>
                <w:szCs w:val="20"/>
              </w:rPr>
              <w:t>ș</w:t>
            </w:r>
            <w:r w:rsidRPr="6B271DC3">
              <w:rPr>
                <w:rFonts w:ascii="Verdana Pro" w:eastAsia="Verdana Pro" w:hAnsi="Verdana Pro" w:cs="Verdana Pro"/>
                <w:b/>
                <w:sz w:val="20"/>
                <w:szCs w:val="20"/>
              </w:rPr>
              <w:t>i afluen</w:t>
            </w:r>
            <w:r w:rsidRPr="6B271DC3">
              <w:rPr>
                <w:rFonts w:ascii="Calibri" w:eastAsia="Verdana Pro" w:hAnsi="Calibri" w:cs="Calibri"/>
                <w:b/>
                <w:sz w:val="20"/>
                <w:szCs w:val="20"/>
              </w:rPr>
              <w:t>ț</w:t>
            </w:r>
            <w:r w:rsidRPr="6B271DC3">
              <w:rPr>
                <w:rFonts w:ascii="Verdana Pro" w:eastAsia="Verdana Pro" w:hAnsi="Verdana Pro" w:cs="Verdana Pro"/>
                <w:b/>
                <w:sz w:val="20"/>
                <w:szCs w:val="20"/>
              </w:rPr>
              <w:t>i pe sector Boc</w:t>
            </w:r>
            <w:r w:rsidRPr="6B271DC3">
              <w:rPr>
                <w:rFonts w:ascii="Calibri" w:eastAsia="Verdana Pro" w:hAnsi="Calibri" w:cs="Calibri"/>
                <w:b/>
                <w:sz w:val="20"/>
                <w:szCs w:val="20"/>
              </w:rPr>
              <w:t>ș</w:t>
            </w:r>
            <w:r w:rsidRPr="6B271DC3">
              <w:rPr>
                <w:rFonts w:ascii="Verdana Pro" w:eastAsia="Verdana Pro" w:hAnsi="Verdana Pro" w:cs="Verdana Pro"/>
                <w:b/>
                <w:sz w:val="20"/>
                <w:szCs w:val="20"/>
              </w:rPr>
              <w:t>a-G</w:t>
            </w:r>
            <w:r w:rsidRPr="6B271DC3">
              <w:rPr>
                <w:rFonts w:ascii="Calibri" w:eastAsia="Verdana Pro" w:hAnsi="Calibri" w:cs="Calibri"/>
                <w:b/>
                <w:sz w:val="20"/>
                <w:szCs w:val="20"/>
              </w:rPr>
              <w:t>ă</w:t>
            </w:r>
            <w:r w:rsidRPr="6B271DC3">
              <w:rPr>
                <w:rFonts w:ascii="Verdana Pro" w:eastAsia="Verdana Pro" w:hAnsi="Verdana Pro" w:cs="Verdana Pro"/>
                <w:b/>
                <w:sz w:val="20"/>
                <w:szCs w:val="20"/>
              </w:rPr>
              <w:t>taia-Denta, jude</w:t>
            </w:r>
            <w:r w:rsidRPr="6B271DC3">
              <w:rPr>
                <w:rFonts w:ascii="Calibri" w:eastAsia="Verdana Pro" w:hAnsi="Calibri" w:cs="Calibri"/>
                <w:b/>
                <w:sz w:val="20"/>
                <w:szCs w:val="20"/>
              </w:rPr>
              <w:t>ț</w:t>
            </w:r>
            <w:r w:rsidRPr="6B271DC3">
              <w:rPr>
                <w:rFonts w:ascii="Verdana Pro" w:eastAsia="Verdana Pro" w:hAnsi="Verdana Pro" w:cs="Verdana Pro"/>
                <w:b/>
                <w:sz w:val="20"/>
                <w:szCs w:val="20"/>
              </w:rPr>
              <w:t>ul Cara</w:t>
            </w:r>
            <w:r w:rsidRPr="6B271DC3">
              <w:rPr>
                <w:rFonts w:ascii="Calibri" w:eastAsia="Verdana Pro" w:hAnsi="Calibri" w:cs="Calibri"/>
                <w:b/>
                <w:sz w:val="20"/>
                <w:szCs w:val="20"/>
              </w:rPr>
              <w:t>ș</w:t>
            </w:r>
            <w:r w:rsidRPr="6B271DC3">
              <w:rPr>
                <w:rFonts w:ascii="Verdana Pro" w:eastAsia="Verdana Pro" w:hAnsi="Verdana Pro" w:cs="Verdana Pro"/>
                <w:b/>
                <w:sz w:val="20"/>
                <w:szCs w:val="20"/>
              </w:rPr>
              <w:t xml:space="preserve">-Severin </w:t>
            </w:r>
            <w:r w:rsidRPr="6B271DC3">
              <w:rPr>
                <w:rFonts w:ascii="Calibri" w:eastAsia="Verdana Pro" w:hAnsi="Calibri" w:cs="Calibri"/>
                <w:b/>
                <w:sz w:val="20"/>
                <w:szCs w:val="20"/>
              </w:rPr>
              <w:t>ș</w:t>
            </w:r>
            <w:r w:rsidRPr="6B271DC3">
              <w:rPr>
                <w:rFonts w:ascii="Verdana Pro" w:eastAsia="Verdana Pro" w:hAnsi="Verdana Pro" w:cs="Verdana Pro"/>
                <w:b/>
                <w:sz w:val="20"/>
                <w:szCs w:val="20"/>
              </w:rPr>
              <w:t>i jude</w:t>
            </w:r>
            <w:r w:rsidRPr="6B271DC3">
              <w:rPr>
                <w:rFonts w:ascii="Calibri" w:eastAsia="Verdana Pro" w:hAnsi="Calibri" w:cs="Calibri"/>
                <w:b/>
                <w:sz w:val="20"/>
                <w:szCs w:val="20"/>
              </w:rPr>
              <w:t>ț</w:t>
            </w:r>
            <w:r w:rsidRPr="6B271DC3">
              <w:rPr>
                <w:rFonts w:ascii="Verdana Pro" w:eastAsia="Verdana Pro" w:hAnsi="Verdana Pro" w:cs="Verdana Pro"/>
                <w:b/>
                <w:sz w:val="20"/>
                <w:szCs w:val="20"/>
              </w:rPr>
              <w:t>ul Timi</w:t>
            </w:r>
            <w:r w:rsidRPr="6B271DC3">
              <w:rPr>
                <w:rFonts w:ascii="Calibri" w:eastAsia="Verdana Pro" w:hAnsi="Calibri" w:cs="Calibri"/>
                <w:b/>
                <w:sz w:val="20"/>
                <w:szCs w:val="20"/>
              </w:rPr>
              <w:t>ș</w:t>
            </w:r>
          </w:p>
        </w:tc>
        <w:tc>
          <w:tcPr>
            <w:tcW w:w="2070" w:type="dxa"/>
            <w:vAlign w:val="center"/>
          </w:tcPr>
          <w:p w14:paraId="6F61D6EC"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219.375.467,86</w:t>
            </w:r>
          </w:p>
        </w:tc>
        <w:tc>
          <w:tcPr>
            <w:tcW w:w="9090" w:type="dxa"/>
          </w:tcPr>
          <w:p w14:paraId="177EFCFE" w14:textId="77777777" w:rsidR="00166785" w:rsidRPr="00E85880" w:rsidRDefault="00166785" w:rsidP="004C574D">
            <w:pPr>
              <w:pStyle w:val="ListParagraph"/>
              <w:numPr>
                <w:ilvl w:val="0"/>
                <w:numId w:val="33"/>
              </w:numPr>
              <w:tabs>
                <w:tab w:val="left" w:pos="720"/>
              </w:tabs>
              <w:rPr>
                <w:rFonts w:ascii="Verdana Pro" w:eastAsia="Verdana Pro" w:hAnsi="Verdana Pro" w:cs="Verdana Pro"/>
                <w:sz w:val="20"/>
                <w:szCs w:val="20"/>
              </w:rPr>
            </w:pPr>
            <w:r w:rsidRPr="7B61883B">
              <w:rPr>
                <w:rFonts w:ascii="Verdana Pro" w:eastAsia="Verdana Pro" w:hAnsi="Verdana Pro" w:cs="Verdana Pro"/>
                <w:sz w:val="20"/>
                <w:szCs w:val="20"/>
              </w:rPr>
              <w:t>Proiectul a trecut in mai multe randuri prin evaluarea Jaspers si AM POIM;</w:t>
            </w:r>
          </w:p>
          <w:p w14:paraId="7DBC6D6B" w14:textId="77777777" w:rsidR="00166785" w:rsidRPr="00E85880" w:rsidRDefault="00166785" w:rsidP="004C574D">
            <w:pPr>
              <w:pStyle w:val="ListParagraph"/>
              <w:numPr>
                <w:ilvl w:val="0"/>
                <w:numId w:val="33"/>
              </w:numPr>
              <w:tabs>
                <w:tab w:val="left" w:pos="720"/>
              </w:tabs>
              <w:rPr>
                <w:rFonts w:ascii="Verdana Pro" w:eastAsia="Verdana Pro" w:hAnsi="Verdana Pro" w:cs="Verdana Pro"/>
                <w:sz w:val="20"/>
                <w:szCs w:val="20"/>
              </w:rPr>
            </w:pPr>
            <w:r w:rsidRPr="7B61883B">
              <w:rPr>
                <w:rFonts w:ascii="Verdana Pro" w:eastAsia="Verdana Pro" w:hAnsi="Verdana Pro" w:cs="Verdana Pro"/>
                <w:sz w:val="20"/>
                <w:szCs w:val="20"/>
              </w:rPr>
              <w:t>Aplicatia de finantare a proiectului a fost depusa spre verificare la Autoritatea de Management. Jaspers a emis Nota de finalizare (Action Completion Note) semnata in data de 29 octombrie 2021, cu o serie de recomandari a fi preluate de catre Beneficiar si AM POIM</w:t>
            </w:r>
            <w:r w:rsidRPr="7B61883B">
              <w:rPr>
                <w:rFonts w:ascii="Verdana Pro" w:eastAsia="Verdana Pro" w:hAnsi="Verdana Pro" w:cs="Verdana Pro"/>
                <w:i/>
                <w:sz w:val="20"/>
                <w:szCs w:val="20"/>
              </w:rPr>
              <w:t xml:space="preserve">. </w:t>
            </w:r>
            <w:r w:rsidRPr="7B61883B">
              <w:rPr>
                <w:rFonts w:ascii="Verdana Pro" w:eastAsia="Verdana Pro" w:hAnsi="Verdana Pro" w:cs="Verdana Pro"/>
                <w:sz w:val="20"/>
                <w:szCs w:val="20"/>
              </w:rPr>
              <w:t>Proiect rejectat.</w:t>
            </w:r>
          </w:p>
          <w:p w14:paraId="40BE9736" w14:textId="77777777" w:rsidR="00166785" w:rsidRPr="00E85880" w:rsidRDefault="00166785" w:rsidP="004C574D">
            <w:pPr>
              <w:spacing w:line="276" w:lineRule="auto"/>
              <w:ind w:right="72"/>
              <w:rPr>
                <w:rFonts w:ascii="Verdana Pro" w:eastAsia="Verdana Pro" w:hAnsi="Verdana Pro" w:cs="Verdana Pro"/>
                <w:b/>
                <w:i/>
                <w:sz w:val="20"/>
                <w:szCs w:val="20"/>
              </w:rPr>
            </w:pPr>
            <w:r w:rsidRPr="7B61883B">
              <w:rPr>
                <w:rFonts w:ascii="Verdana Pro" w:eastAsia="Verdana Pro" w:hAnsi="Verdana Pro" w:cs="Verdana Pro"/>
                <w:b/>
                <w:i/>
                <w:sz w:val="20"/>
                <w:szCs w:val="20"/>
              </w:rPr>
              <w:t>Nu s-a depus CF</w:t>
            </w:r>
          </w:p>
          <w:p w14:paraId="6ABBB779" w14:textId="77777777" w:rsidR="00166785" w:rsidRPr="00B66E8B" w:rsidRDefault="00166785" w:rsidP="004C574D">
            <w:pPr>
              <w:pStyle w:val="ListParagraph"/>
              <w:numPr>
                <w:ilvl w:val="0"/>
                <w:numId w:val="33"/>
              </w:numPr>
              <w:tabs>
                <w:tab w:val="left" w:pos="720"/>
              </w:tabs>
              <w:spacing w:line="276" w:lineRule="auto"/>
              <w:rPr>
                <w:rFonts w:ascii="Verdana Pro" w:eastAsia="Verdana Pro" w:hAnsi="Verdana Pro" w:cs="Verdana Pro"/>
                <w:b/>
                <w:sz w:val="20"/>
                <w:szCs w:val="20"/>
              </w:rPr>
            </w:pPr>
            <w:r w:rsidRPr="7B61883B">
              <w:rPr>
                <w:rFonts w:ascii="Verdana Pro" w:eastAsia="Verdana Pro" w:hAnsi="Verdana Pro" w:cs="Verdana Pro"/>
                <w:b/>
                <w:sz w:val="20"/>
                <w:szCs w:val="20"/>
              </w:rPr>
              <w:t>Proiect i</w:t>
            </w:r>
            <w:r w:rsidRPr="008B7267">
              <w:rPr>
                <w:rFonts w:ascii="Verdana Pro" w:eastAsia="Verdana Pro" w:hAnsi="Verdana Pro" w:cs="Verdana Pro"/>
                <w:b/>
                <w:sz w:val="20"/>
                <w:szCs w:val="20"/>
              </w:rPr>
              <w:t>matur</w:t>
            </w:r>
            <w:r w:rsidRPr="7B61883B">
              <w:rPr>
                <w:rFonts w:ascii="Verdana Pro" w:eastAsia="Verdana Pro" w:hAnsi="Verdana Pro" w:cs="Verdana Pro"/>
                <w:sz w:val="20"/>
                <w:szCs w:val="20"/>
                <w:lang w:val="ro"/>
              </w:rPr>
              <w:t xml:space="preserve"> ; ca urmare, in cadrul PMRI2 dezvoltat in proiectul RO FLOODS se studiaza o a doua  alternativa (incl AMC, CBA, analiza mediu etc)</w:t>
            </w:r>
          </w:p>
        </w:tc>
      </w:tr>
      <w:tr w:rsidR="00166785" w:rsidRPr="00FA073D" w14:paraId="750C8E8E" w14:textId="77777777" w:rsidTr="00166785">
        <w:trPr>
          <w:trHeight w:val="170"/>
        </w:trPr>
        <w:tc>
          <w:tcPr>
            <w:tcW w:w="3420" w:type="dxa"/>
            <w:vAlign w:val="center"/>
          </w:tcPr>
          <w:p w14:paraId="0081A45B"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ABA JIU</w:t>
            </w:r>
          </w:p>
          <w:p w14:paraId="088AE91D"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Amenajarea complex</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 xml:space="preserve"> a râului Jiu în vederea ap</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r</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rii împotriva inunda</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iilor a municipiului Craiova</w:t>
            </w:r>
          </w:p>
        </w:tc>
        <w:tc>
          <w:tcPr>
            <w:tcW w:w="2070" w:type="dxa"/>
            <w:vAlign w:val="center"/>
          </w:tcPr>
          <w:p w14:paraId="541DBDE6"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149.112.753,71</w:t>
            </w:r>
          </w:p>
        </w:tc>
        <w:tc>
          <w:tcPr>
            <w:tcW w:w="9090" w:type="dxa"/>
          </w:tcPr>
          <w:p w14:paraId="140B0706" w14:textId="77777777" w:rsidR="00166785" w:rsidRPr="00C6117F" w:rsidRDefault="00166785" w:rsidP="004C574D">
            <w:pPr>
              <w:pStyle w:val="ListParagraph"/>
              <w:numPr>
                <w:ilvl w:val="0"/>
                <w:numId w:val="32"/>
              </w:numPr>
              <w:tabs>
                <w:tab w:val="left" w:pos="720"/>
              </w:tabs>
              <w:jc w:val="both"/>
              <w:rPr>
                <w:rFonts w:ascii="Verdana Pro" w:eastAsia="Verdana Pro" w:hAnsi="Verdana Pro" w:cs="Verdana Pro"/>
                <w:sz w:val="20"/>
                <w:szCs w:val="20"/>
              </w:rPr>
            </w:pPr>
            <w:r w:rsidRPr="7B61883B">
              <w:rPr>
                <w:rFonts w:ascii="Verdana Pro" w:eastAsia="Verdana Pro" w:hAnsi="Verdana Pro" w:cs="Verdana Pro"/>
                <w:sz w:val="20"/>
                <w:szCs w:val="20"/>
              </w:rPr>
              <w:t xml:space="preserve">Aplicatia de finantare a proiectului a fost depusa spre verificare la Autoritatea de Management. </w:t>
            </w:r>
          </w:p>
          <w:p w14:paraId="0619208A" w14:textId="77777777" w:rsidR="00166785" w:rsidRPr="00C6117F" w:rsidRDefault="00166785" w:rsidP="004C574D">
            <w:pPr>
              <w:pStyle w:val="ListParagraph"/>
              <w:numPr>
                <w:ilvl w:val="0"/>
                <w:numId w:val="32"/>
              </w:numPr>
              <w:tabs>
                <w:tab w:val="left" w:pos="720"/>
              </w:tabs>
              <w:jc w:val="both"/>
              <w:rPr>
                <w:rFonts w:ascii="Verdana Pro" w:eastAsia="Verdana Pro" w:hAnsi="Verdana Pro" w:cs="Verdana Pro"/>
                <w:sz w:val="20"/>
                <w:szCs w:val="20"/>
              </w:rPr>
            </w:pPr>
            <w:r w:rsidRPr="7B61883B">
              <w:rPr>
                <w:rFonts w:ascii="Verdana Pro" w:eastAsia="Verdana Pro" w:hAnsi="Verdana Pro" w:cs="Verdana Pro"/>
                <w:sz w:val="20"/>
                <w:szCs w:val="20"/>
              </w:rPr>
              <w:t>Proiectul in forma transmisa are obtinute toate avizele si a fost aprobat in comisiile tehnico-economice ABA, ANAR, MMAP si Consiliu Interministerial (Octombrie 2021), urmand a fi emisa Hotararea de Guvern pentru aprobarea indicatorilor proiectului (est. Decembrie 2021);</w:t>
            </w:r>
          </w:p>
          <w:p w14:paraId="0D01F9D2" w14:textId="77777777" w:rsidR="00166785" w:rsidRPr="00C6117F" w:rsidRDefault="00166785" w:rsidP="004C574D">
            <w:pPr>
              <w:pStyle w:val="ListParagraph"/>
              <w:numPr>
                <w:ilvl w:val="0"/>
                <w:numId w:val="32"/>
              </w:numPr>
              <w:tabs>
                <w:tab w:val="left" w:pos="720"/>
              </w:tabs>
              <w:jc w:val="both"/>
              <w:rPr>
                <w:rFonts w:ascii="Verdana Pro" w:eastAsia="Verdana Pro" w:hAnsi="Verdana Pro" w:cs="Verdana Pro"/>
                <w:sz w:val="20"/>
                <w:szCs w:val="20"/>
              </w:rPr>
            </w:pPr>
            <w:r w:rsidRPr="7B61883B">
              <w:rPr>
                <w:rFonts w:ascii="Verdana Pro" w:eastAsia="Verdana Pro" w:hAnsi="Verdana Pro" w:cs="Verdana Pro"/>
                <w:sz w:val="20"/>
                <w:szCs w:val="20"/>
              </w:rPr>
              <w:t>Procedura de mediu a fost finalizata prin emiterea Acordului de mediu nr. 1/22.06.2021;</w:t>
            </w:r>
          </w:p>
          <w:p w14:paraId="1FD99CCC" w14:textId="77777777" w:rsidR="00166785" w:rsidRPr="00E85880" w:rsidRDefault="00166785" w:rsidP="004C574D">
            <w:pPr>
              <w:spacing w:line="276" w:lineRule="auto"/>
              <w:ind w:right="72"/>
              <w:rPr>
                <w:rFonts w:ascii="Verdana Pro" w:eastAsia="Verdana Pro" w:hAnsi="Verdana Pro" w:cs="Verdana Pro"/>
                <w:b/>
                <w:sz w:val="20"/>
                <w:szCs w:val="20"/>
              </w:rPr>
            </w:pPr>
            <w:r w:rsidRPr="7B61883B">
              <w:rPr>
                <w:rFonts w:ascii="Verdana Pro" w:eastAsia="Verdana Pro" w:hAnsi="Verdana Pro" w:cs="Verdana Pro"/>
                <w:b/>
                <w:sz w:val="20"/>
                <w:szCs w:val="20"/>
              </w:rPr>
              <w:t>Proiect matur</w:t>
            </w:r>
          </w:p>
          <w:p w14:paraId="7A60F7BA" w14:textId="77777777" w:rsidR="00166785" w:rsidRPr="00E85880" w:rsidRDefault="00166785" w:rsidP="004C574D">
            <w:pPr>
              <w:spacing w:line="276" w:lineRule="auto"/>
              <w:ind w:right="72"/>
              <w:rPr>
                <w:rFonts w:ascii="Verdana Pro" w:eastAsia="Verdana Pro" w:hAnsi="Verdana Pro" w:cs="Verdana Pro"/>
                <w:b/>
                <w:i/>
                <w:sz w:val="20"/>
                <w:szCs w:val="20"/>
              </w:rPr>
            </w:pPr>
            <w:r w:rsidRPr="7B61883B">
              <w:rPr>
                <w:rFonts w:ascii="Verdana Pro" w:eastAsia="Verdana Pro" w:hAnsi="Verdana Pro" w:cs="Verdana Pro"/>
                <w:b/>
                <w:i/>
                <w:sz w:val="20"/>
                <w:szCs w:val="20"/>
              </w:rPr>
              <w:t>In implementare</w:t>
            </w:r>
          </w:p>
        </w:tc>
      </w:tr>
      <w:tr w:rsidR="00166785" w:rsidRPr="00FA073D" w14:paraId="135EB318" w14:textId="77777777" w:rsidTr="00166785">
        <w:trPr>
          <w:trHeight w:val="2202"/>
        </w:trPr>
        <w:tc>
          <w:tcPr>
            <w:tcW w:w="3420" w:type="dxa"/>
            <w:vAlign w:val="center"/>
          </w:tcPr>
          <w:p w14:paraId="7DC5E4AE"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ABA JIU</w:t>
            </w:r>
          </w:p>
          <w:p w14:paraId="2BE2D43C"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Amenajarea complex</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 xml:space="preserve"> a râurilor Jiului de Vest </w:t>
            </w:r>
            <w:r w:rsidRPr="00B66E8B">
              <w:rPr>
                <w:rFonts w:ascii="Calibri" w:eastAsia="Verdana Pro" w:hAnsi="Calibri" w:cs="Calibri"/>
                <w:b/>
                <w:sz w:val="20"/>
                <w:szCs w:val="20"/>
              </w:rPr>
              <w:t>ș</w:t>
            </w:r>
            <w:r w:rsidRPr="00B66E8B">
              <w:rPr>
                <w:rFonts w:ascii="Verdana Pro" w:eastAsia="Verdana Pro" w:hAnsi="Verdana Pro" w:cs="Verdana Pro"/>
                <w:b/>
                <w:sz w:val="20"/>
                <w:szCs w:val="20"/>
              </w:rPr>
              <w:t>i Est în vederea ap</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r</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rii împotriva inunda</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iilor a localit</w:t>
            </w:r>
            <w:r w:rsidRPr="00B66E8B">
              <w:rPr>
                <w:rFonts w:ascii="Calibri" w:eastAsia="Verdana Pro" w:hAnsi="Calibri" w:cs="Calibri"/>
                <w:b/>
                <w:sz w:val="20"/>
                <w:szCs w:val="20"/>
              </w:rPr>
              <w:t>ăț</w:t>
            </w:r>
            <w:r w:rsidRPr="00B66E8B">
              <w:rPr>
                <w:rFonts w:ascii="Verdana Pro" w:eastAsia="Verdana Pro" w:hAnsi="Verdana Pro" w:cs="Verdana Pro"/>
                <w:b/>
                <w:sz w:val="20"/>
                <w:szCs w:val="20"/>
              </w:rPr>
              <w:t>ilor riverane - Obiectul  I Punerea în siguran</w:t>
            </w:r>
            <w:r w:rsidRPr="00B66E8B">
              <w:rPr>
                <w:rFonts w:ascii="Calibri" w:eastAsia="Verdana Pro" w:hAnsi="Calibri" w:cs="Calibri"/>
                <w:b/>
                <w:sz w:val="20"/>
                <w:szCs w:val="20"/>
              </w:rPr>
              <w:t>ță</w:t>
            </w:r>
            <w:r w:rsidRPr="00B66E8B">
              <w:rPr>
                <w:rFonts w:ascii="Verdana Pro" w:eastAsia="Verdana Pro" w:hAnsi="Verdana Pro" w:cs="Verdana Pro"/>
                <w:b/>
                <w:sz w:val="20"/>
                <w:szCs w:val="20"/>
              </w:rPr>
              <w:t xml:space="preserve"> a barajului Valea de Pe</w:t>
            </w:r>
            <w:r w:rsidRPr="00B66E8B">
              <w:rPr>
                <w:rFonts w:ascii="Calibri" w:eastAsia="Verdana Pro" w:hAnsi="Calibri" w:cs="Calibri"/>
                <w:b/>
                <w:sz w:val="20"/>
                <w:szCs w:val="20"/>
              </w:rPr>
              <w:t>ș</w:t>
            </w:r>
            <w:r w:rsidRPr="00B66E8B">
              <w:rPr>
                <w:rFonts w:ascii="Verdana Pro" w:eastAsia="Verdana Pro" w:hAnsi="Verdana Pro" w:cs="Verdana Pro"/>
                <w:b/>
                <w:sz w:val="20"/>
                <w:szCs w:val="20"/>
              </w:rPr>
              <w:t>ti, jude</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ul Hunedoara</w:t>
            </w:r>
          </w:p>
        </w:tc>
        <w:tc>
          <w:tcPr>
            <w:tcW w:w="2070" w:type="dxa"/>
            <w:vAlign w:val="center"/>
          </w:tcPr>
          <w:p w14:paraId="37F4C05D"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213.676.590,08</w:t>
            </w:r>
          </w:p>
        </w:tc>
        <w:tc>
          <w:tcPr>
            <w:tcW w:w="9090" w:type="dxa"/>
          </w:tcPr>
          <w:p w14:paraId="43847CF6" w14:textId="77777777" w:rsidR="00166785" w:rsidRPr="00981CFD" w:rsidRDefault="00166785" w:rsidP="004C574D">
            <w:pPr>
              <w:pStyle w:val="ListParagraph"/>
              <w:numPr>
                <w:ilvl w:val="0"/>
                <w:numId w:val="35"/>
              </w:numPr>
              <w:tabs>
                <w:tab w:val="left" w:pos="720"/>
              </w:tabs>
              <w:jc w:val="both"/>
              <w:rPr>
                <w:rFonts w:ascii="Verdana Pro" w:eastAsia="Verdana Pro" w:hAnsi="Verdana Pro" w:cs="Verdana Pro"/>
                <w:sz w:val="20"/>
                <w:szCs w:val="20"/>
              </w:rPr>
            </w:pPr>
            <w:r w:rsidRPr="7B61883B">
              <w:rPr>
                <w:rFonts w:ascii="Verdana Pro" w:eastAsia="Verdana Pro" w:hAnsi="Verdana Pro" w:cs="Verdana Pro"/>
                <w:sz w:val="20"/>
                <w:szCs w:val="20"/>
              </w:rPr>
              <w:t xml:space="preserve">Aplicatia de finantare a proiectului a fost depusa spre verificare la Autoritatea de Management. </w:t>
            </w:r>
          </w:p>
          <w:p w14:paraId="4CBAC6A7" w14:textId="77777777" w:rsidR="00166785" w:rsidRPr="00981CFD" w:rsidRDefault="00166785" w:rsidP="004C574D">
            <w:pPr>
              <w:pStyle w:val="ListParagraph"/>
              <w:numPr>
                <w:ilvl w:val="0"/>
                <w:numId w:val="35"/>
              </w:numPr>
              <w:tabs>
                <w:tab w:val="left" w:pos="720"/>
              </w:tabs>
              <w:jc w:val="both"/>
              <w:rPr>
                <w:rFonts w:ascii="Verdana Pro" w:eastAsia="Verdana Pro" w:hAnsi="Verdana Pro" w:cs="Verdana Pro"/>
                <w:sz w:val="20"/>
                <w:szCs w:val="20"/>
              </w:rPr>
            </w:pPr>
            <w:r w:rsidRPr="7B61883B">
              <w:rPr>
                <w:rFonts w:ascii="Verdana Pro" w:eastAsia="Verdana Pro" w:hAnsi="Verdana Pro" w:cs="Verdana Pro"/>
                <w:sz w:val="20"/>
                <w:szCs w:val="20"/>
              </w:rPr>
              <w:t>Proiectul in forma transmisa are obtinute o parte din avizele solicitate prin certificatul de urbanism  si a fost avizat in comisiliul tehnico-economic al ABA Jiu;</w:t>
            </w:r>
          </w:p>
          <w:p w14:paraId="3463D3FA" w14:textId="77777777" w:rsidR="00166785" w:rsidRPr="00981CFD" w:rsidRDefault="00166785" w:rsidP="004C574D">
            <w:pPr>
              <w:pStyle w:val="ListParagraph"/>
              <w:numPr>
                <w:ilvl w:val="0"/>
                <w:numId w:val="35"/>
              </w:numPr>
              <w:tabs>
                <w:tab w:val="left" w:pos="720"/>
              </w:tabs>
              <w:jc w:val="both"/>
              <w:rPr>
                <w:rFonts w:ascii="Verdana Pro" w:eastAsia="Verdana Pro" w:hAnsi="Verdana Pro" w:cs="Verdana Pro"/>
                <w:sz w:val="20"/>
                <w:szCs w:val="20"/>
              </w:rPr>
            </w:pPr>
            <w:r w:rsidRPr="7B61883B">
              <w:rPr>
                <w:rFonts w:ascii="Verdana Pro" w:eastAsia="Verdana Pro" w:hAnsi="Verdana Pro" w:cs="Verdana Pro"/>
                <w:sz w:val="20"/>
                <w:szCs w:val="20"/>
              </w:rPr>
              <w:t xml:space="preserve">Procedura de emitere a Acordului de mediu este in curs de derulare, termenul estimat de obtinere Acord de mediu: ianuarie – februarie 2022 </w:t>
            </w:r>
          </w:p>
          <w:p w14:paraId="74C7F974" w14:textId="77777777" w:rsidR="00166785" w:rsidRPr="00E85880" w:rsidRDefault="00166785" w:rsidP="004C574D">
            <w:pPr>
              <w:spacing w:line="276" w:lineRule="auto"/>
              <w:ind w:right="72"/>
              <w:rPr>
                <w:rFonts w:ascii="Verdana Pro" w:eastAsia="Verdana Pro" w:hAnsi="Verdana Pro" w:cs="Verdana Pro"/>
                <w:b/>
                <w:sz w:val="20"/>
                <w:szCs w:val="20"/>
              </w:rPr>
            </w:pPr>
            <w:r w:rsidRPr="7B61883B">
              <w:rPr>
                <w:rFonts w:ascii="Verdana Pro" w:eastAsia="Verdana Pro" w:hAnsi="Verdana Pro" w:cs="Verdana Pro"/>
                <w:b/>
                <w:sz w:val="20"/>
                <w:szCs w:val="20"/>
              </w:rPr>
              <w:t>Proiect matur</w:t>
            </w:r>
          </w:p>
          <w:p w14:paraId="36B9DCF7" w14:textId="77777777" w:rsidR="00166785" w:rsidRPr="00E85880" w:rsidRDefault="00166785" w:rsidP="004C574D">
            <w:pPr>
              <w:spacing w:line="276" w:lineRule="auto"/>
              <w:ind w:right="72"/>
              <w:rPr>
                <w:rFonts w:ascii="Verdana Pro" w:eastAsia="Verdana Pro" w:hAnsi="Verdana Pro" w:cs="Verdana Pro"/>
                <w:b/>
                <w:i/>
                <w:sz w:val="20"/>
                <w:szCs w:val="20"/>
              </w:rPr>
            </w:pPr>
            <w:r w:rsidRPr="7B61883B">
              <w:rPr>
                <w:rFonts w:ascii="Verdana Pro" w:eastAsia="Verdana Pro" w:hAnsi="Verdana Pro" w:cs="Verdana Pro"/>
                <w:b/>
                <w:i/>
                <w:sz w:val="20"/>
                <w:szCs w:val="20"/>
              </w:rPr>
              <w:t>Nu s-a depus CF</w:t>
            </w:r>
          </w:p>
        </w:tc>
      </w:tr>
      <w:tr w:rsidR="00166785" w:rsidRPr="00FA073D" w14:paraId="44E072BF" w14:textId="77777777" w:rsidTr="00166785">
        <w:trPr>
          <w:trHeight w:val="980"/>
        </w:trPr>
        <w:tc>
          <w:tcPr>
            <w:tcW w:w="3420" w:type="dxa"/>
            <w:vAlign w:val="center"/>
          </w:tcPr>
          <w:p w14:paraId="33095E83" w14:textId="77777777" w:rsidR="00166785" w:rsidRPr="00E85880" w:rsidRDefault="00166785" w:rsidP="004C574D">
            <w:pPr>
              <w:spacing w:line="276" w:lineRule="auto"/>
              <w:ind w:left="72" w:right="78"/>
              <w:rPr>
                <w:rFonts w:ascii="Verdana Pro" w:eastAsia="Verdana Pro" w:hAnsi="Verdana Pro" w:cs="Verdana Pro"/>
                <w:b/>
                <w:sz w:val="20"/>
                <w:szCs w:val="20"/>
              </w:rPr>
            </w:pPr>
            <w:r w:rsidRPr="6B271DC3">
              <w:rPr>
                <w:rFonts w:ascii="Verdana Pro" w:eastAsia="Verdana Pro" w:hAnsi="Verdana Pro" w:cs="Verdana Pro"/>
                <w:b/>
                <w:sz w:val="20"/>
                <w:szCs w:val="20"/>
              </w:rPr>
              <w:lastRenderedPageBreak/>
              <w:t>ABA OLT</w:t>
            </w:r>
          </w:p>
          <w:p w14:paraId="097B8350"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6B271DC3">
              <w:rPr>
                <w:rFonts w:ascii="Verdana Pro" w:eastAsia="Verdana Pro" w:hAnsi="Verdana Pro" w:cs="Verdana Pro"/>
                <w:b/>
                <w:sz w:val="20"/>
                <w:szCs w:val="20"/>
              </w:rPr>
              <w:t>Amenajarea complex</w:t>
            </w:r>
            <w:r w:rsidRPr="6B271DC3">
              <w:rPr>
                <w:rFonts w:ascii="Calibri" w:eastAsia="Verdana Pro" w:hAnsi="Calibri" w:cs="Calibri"/>
                <w:b/>
                <w:sz w:val="20"/>
                <w:szCs w:val="20"/>
              </w:rPr>
              <w:t>ă</w:t>
            </w:r>
            <w:r w:rsidRPr="6B271DC3">
              <w:rPr>
                <w:rFonts w:ascii="Verdana Pro" w:eastAsia="Verdana Pro" w:hAnsi="Verdana Pro" w:cs="Verdana Pro"/>
                <w:b/>
                <w:sz w:val="20"/>
                <w:szCs w:val="20"/>
              </w:rPr>
              <w:t xml:space="preserve"> a afluen</w:t>
            </w:r>
            <w:r w:rsidRPr="6B271DC3">
              <w:rPr>
                <w:rFonts w:ascii="Calibri" w:eastAsia="Verdana Pro" w:hAnsi="Calibri" w:cs="Calibri"/>
                <w:b/>
                <w:sz w:val="20"/>
                <w:szCs w:val="20"/>
              </w:rPr>
              <w:t>ț</w:t>
            </w:r>
            <w:r w:rsidRPr="6B271DC3">
              <w:rPr>
                <w:rFonts w:ascii="Verdana Pro" w:eastAsia="Verdana Pro" w:hAnsi="Verdana Pro" w:cs="Verdana Pro"/>
                <w:b/>
                <w:sz w:val="20"/>
                <w:szCs w:val="20"/>
              </w:rPr>
              <w:t>ilor Oltului de pe Rama Nordic</w:t>
            </w:r>
            <w:r w:rsidRPr="6B271DC3">
              <w:rPr>
                <w:rFonts w:ascii="Calibri" w:eastAsia="Verdana Pro" w:hAnsi="Calibri" w:cs="Calibri"/>
                <w:b/>
                <w:sz w:val="20"/>
                <w:szCs w:val="20"/>
              </w:rPr>
              <w:t>ă</w:t>
            </w:r>
            <w:r w:rsidRPr="6B271DC3">
              <w:rPr>
                <w:rFonts w:ascii="Verdana Pro" w:eastAsia="Verdana Pro" w:hAnsi="Verdana Pro" w:cs="Verdana Pro"/>
                <w:b/>
                <w:sz w:val="20"/>
                <w:szCs w:val="20"/>
              </w:rPr>
              <w:t xml:space="preserve"> a Mun</w:t>
            </w:r>
            <w:r w:rsidRPr="6B271DC3">
              <w:rPr>
                <w:rFonts w:ascii="Calibri" w:eastAsia="Verdana Pro" w:hAnsi="Calibri" w:cs="Calibri"/>
                <w:b/>
                <w:sz w:val="20"/>
                <w:szCs w:val="20"/>
              </w:rPr>
              <w:t>ț</w:t>
            </w:r>
            <w:r w:rsidRPr="6B271DC3">
              <w:rPr>
                <w:rFonts w:ascii="Verdana Pro" w:eastAsia="Verdana Pro" w:hAnsi="Verdana Pro" w:cs="Verdana Pro"/>
                <w:b/>
                <w:sz w:val="20"/>
                <w:szCs w:val="20"/>
              </w:rPr>
              <w:t>ilor F</w:t>
            </w:r>
            <w:r w:rsidRPr="6B271DC3">
              <w:rPr>
                <w:rFonts w:ascii="Calibri" w:eastAsia="Verdana Pro" w:hAnsi="Calibri" w:cs="Calibri"/>
                <w:b/>
                <w:sz w:val="20"/>
                <w:szCs w:val="20"/>
              </w:rPr>
              <w:t>ă</w:t>
            </w:r>
            <w:r w:rsidRPr="6B271DC3">
              <w:rPr>
                <w:rFonts w:ascii="Verdana Pro" w:eastAsia="Verdana Pro" w:hAnsi="Verdana Pro" w:cs="Verdana Pro"/>
                <w:b/>
                <w:sz w:val="20"/>
                <w:szCs w:val="20"/>
              </w:rPr>
              <w:t>g</w:t>
            </w:r>
            <w:r w:rsidRPr="6B271DC3">
              <w:rPr>
                <w:rFonts w:ascii="Calibri" w:eastAsia="Verdana Pro" w:hAnsi="Calibri" w:cs="Calibri"/>
                <w:b/>
                <w:sz w:val="20"/>
                <w:szCs w:val="20"/>
              </w:rPr>
              <w:t>ă</w:t>
            </w:r>
            <w:r w:rsidRPr="6B271DC3">
              <w:rPr>
                <w:rFonts w:ascii="Verdana Pro" w:eastAsia="Verdana Pro" w:hAnsi="Verdana Pro" w:cs="Verdana Pro"/>
                <w:b/>
                <w:sz w:val="20"/>
                <w:szCs w:val="20"/>
              </w:rPr>
              <w:t>ra</w:t>
            </w:r>
            <w:r w:rsidRPr="6B271DC3">
              <w:rPr>
                <w:rFonts w:ascii="Calibri" w:eastAsia="Verdana Pro" w:hAnsi="Calibri" w:cs="Calibri"/>
                <w:b/>
                <w:sz w:val="20"/>
                <w:szCs w:val="20"/>
              </w:rPr>
              <w:t>ș</w:t>
            </w:r>
            <w:r w:rsidRPr="6B271DC3">
              <w:rPr>
                <w:rFonts w:ascii="Verdana Pro" w:eastAsia="Verdana Pro" w:hAnsi="Verdana Pro" w:cs="Verdana Pro"/>
                <w:b/>
                <w:sz w:val="20"/>
                <w:szCs w:val="20"/>
              </w:rPr>
              <w:t xml:space="preserve"> cu poten</w:t>
            </w:r>
            <w:r w:rsidRPr="6B271DC3">
              <w:rPr>
                <w:rFonts w:ascii="Calibri" w:eastAsia="Verdana Pro" w:hAnsi="Calibri" w:cs="Calibri"/>
                <w:b/>
                <w:sz w:val="20"/>
                <w:szCs w:val="20"/>
              </w:rPr>
              <w:t>ț</w:t>
            </w:r>
            <w:r w:rsidRPr="6B271DC3">
              <w:rPr>
                <w:rFonts w:ascii="Verdana Pro" w:eastAsia="Verdana Pro" w:hAnsi="Verdana Pro" w:cs="Verdana Pro"/>
                <w:b/>
                <w:sz w:val="20"/>
                <w:szCs w:val="20"/>
              </w:rPr>
              <w:t>ial de risc la inunda</w:t>
            </w:r>
            <w:r w:rsidRPr="6B271DC3">
              <w:rPr>
                <w:rFonts w:ascii="Calibri" w:eastAsia="Verdana Pro" w:hAnsi="Calibri" w:cs="Calibri"/>
                <w:b/>
                <w:sz w:val="20"/>
                <w:szCs w:val="20"/>
              </w:rPr>
              <w:t>ț</w:t>
            </w:r>
            <w:r w:rsidRPr="6B271DC3">
              <w:rPr>
                <w:rFonts w:ascii="Verdana Pro" w:eastAsia="Verdana Pro" w:hAnsi="Verdana Pro" w:cs="Verdana Pro"/>
                <w:b/>
                <w:sz w:val="20"/>
                <w:szCs w:val="20"/>
              </w:rPr>
              <w:t>ii din viituri rapide</w:t>
            </w:r>
          </w:p>
        </w:tc>
        <w:tc>
          <w:tcPr>
            <w:tcW w:w="2070" w:type="dxa"/>
            <w:vAlign w:val="center"/>
          </w:tcPr>
          <w:p w14:paraId="62693E9F"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53.562.057</w:t>
            </w:r>
          </w:p>
        </w:tc>
        <w:tc>
          <w:tcPr>
            <w:tcW w:w="9090" w:type="dxa"/>
          </w:tcPr>
          <w:p w14:paraId="7A943A31" w14:textId="77777777" w:rsidR="00166785" w:rsidRPr="00801BA2" w:rsidRDefault="00166785" w:rsidP="004C574D">
            <w:pPr>
              <w:numPr>
                <w:ilvl w:val="0"/>
                <w:numId w:val="37"/>
              </w:numPr>
              <w:spacing w:line="259" w:lineRule="auto"/>
              <w:contextualSpacing/>
              <w:rPr>
                <w:rFonts w:ascii="Verdana Pro" w:eastAsia="Verdana Pro" w:hAnsi="Verdana Pro" w:cs="Verdana Pro"/>
                <w:sz w:val="20"/>
                <w:szCs w:val="20"/>
              </w:rPr>
            </w:pPr>
            <w:r w:rsidRPr="00801BA2">
              <w:rPr>
                <w:rFonts w:ascii="Verdana Pro" w:eastAsia="Verdana Pro" w:hAnsi="Verdana Pro" w:cs="Verdana Pro"/>
                <w:sz w:val="20"/>
                <w:szCs w:val="20"/>
              </w:rPr>
              <w:t>Aplica</w:t>
            </w:r>
            <w:r w:rsidRPr="00801BA2">
              <w:rPr>
                <w:rFonts w:ascii="Calibri" w:eastAsia="Verdana Pro" w:hAnsi="Calibri" w:cs="Calibri"/>
                <w:sz w:val="20"/>
                <w:szCs w:val="20"/>
              </w:rPr>
              <w:t>ț</w:t>
            </w:r>
            <w:r w:rsidRPr="00801BA2">
              <w:rPr>
                <w:rFonts w:ascii="Verdana Pro" w:eastAsia="Verdana Pro" w:hAnsi="Verdana Pro" w:cs="Verdana Pro"/>
                <w:sz w:val="20"/>
                <w:szCs w:val="20"/>
              </w:rPr>
              <w:t>ia de finan</w:t>
            </w:r>
            <w:r w:rsidRPr="00801BA2">
              <w:rPr>
                <w:rFonts w:ascii="Calibri" w:eastAsia="Verdana Pro" w:hAnsi="Calibri" w:cs="Calibri"/>
                <w:sz w:val="20"/>
                <w:szCs w:val="20"/>
              </w:rPr>
              <w:t>ț</w:t>
            </w:r>
            <w:r w:rsidRPr="00801BA2">
              <w:rPr>
                <w:rFonts w:ascii="Verdana Pro" w:eastAsia="Verdana Pro" w:hAnsi="Verdana Pro" w:cs="Verdana Pro"/>
                <w:sz w:val="20"/>
                <w:szCs w:val="20"/>
              </w:rPr>
              <w:t xml:space="preserve">are a proiectului a fost depusa spre verificare la Autoritatea de Management. </w:t>
            </w:r>
          </w:p>
          <w:p w14:paraId="2389613D" w14:textId="77777777" w:rsidR="00166785" w:rsidRPr="00801BA2" w:rsidRDefault="00166785" w:rsidP="004C574D">
            <w:pPr>
              <w:numPr>
                <w:ilvl w:val="0"/>
                <w:numId w:val="37"/>
              </w:numPr>
              <w:spacing w:line="259" w:lineRule="auto"/>
              <w:contextualSpacing/>
              <w:rPr>
                <w:rFonts w:ascii="Verdana Pro" w:eastAsia="Verdana Pro" w:hAnsi="Verdana Pro" w:cs="Verdana Pro"/>
                <w:sz w:val="20"/>
                <w:szCs w:val="20"/>
              </w:rPr>
            </w:pPr>
            <w:r w:rsidRPr="00801BA2">
              <w:rPr>
                <w:rFonts w:ascii="Verdana Pro" w:eastAsia="Verdana Pro" w:hAnsi="Verdana Pro" w:cs="Verdana Pro"/>
                <w:sz w:val="20"/>
                <w:szCs w:val="20"/>
              </w:rPr>
              <w:t>Proiectul in forma transmisa are ob</w:t>
            </w:r>
            <w:r w:rsidRPr="00801BA2">
              <w:rPr>
                <w:rFonts w:ascii="Calibri" w:eastAsia="Verdana Pro" w:hAnsi="Calibri" w:cs="Calibri"/>
                <w:sz w:val="20"/>
                <w:szCs w:val="20"/>
              </w:rPr>
              <w:t>ț</w:t>
            </w:r>
            <w:r w:rsidRPr="00801BA2">
              <w:rPr>
                <w:rFonts w:ascii="Verdana Pro" w:eastAsia="Verdana Pro" w:hAnsi="Verdana Pro" w:cs="Verdana Pro"/>
                <w:sz w:val="20"/>
                <w:szCs w:val="20"/>
              </w:rPr>
              <w:t xml:space="preserve">inute toate avizele </w:t>
            </w:r>
            <w:r w:rsidRPr="00801BA2">
              <w:rPr>
                <w:rFonts w:ascii="Calibri" w:eastAsia="Verdana Pro" w:hAnsi="Calibri" w:cs="Calibri"/>
                <w:sz w:val="20"/>
                <w:szCs w:val="20"/>
              </w:rPr>
              <w:t>ș</w:t>
            </w:r>
            <w:r w:rsidRPr="00801BA2">
              <w:rPr>
                <w:rFonts w:ascii="Verdana Pro" w:eastAsia="Verdana Pro" w:hAnsi="Verdana Pro" w:cs="Verdana Pro"/>
                <w:sz w:val="20"/>
                <w:szCs w:val="20"/>
              </w:rPr>
              <w:t>i a fost aprobat in comisiile tehnico-economice ABA, ANAR, MMAP si Consiliu Interministerial (Octombrie 2021), urmând a fi emis</w:t>
            </w:r>
            <w:r w:rsidRPr="00801BA2">
              <w:rPr>
                <w:rFonts w:ascii="Calibri" w:eastAsia="Verdana Pro" w:hAnsi="Calibri" w:cs="Calibri"/>
                <w:sz w:val="20"/>
                <w:szCs w:val="20"/>
              </w:rPr>
              <w:t>ă</w:t>
            </w:r>
            <w:r w:rsidRPr="00801BA2">
              <w:rPr>
                <w:rFonts w:ascii="Verdana Pro" w:eastAsia="Verdana Pro" w:hAnsi="Verdana Pro" w:cs="Verdana Pro"/>
                <w:sz w:val="20"/>
                <w:szCs w:val="20"/>
              </w:rPr>
              <w:t xml:space="preserve"> Hot</w:t>
            </w:r>
            <w:r w:rsidRPr="00801BA2">
              <w:rPr>
                <w:rFonts w:ascii="Calibri" w:eastAsia="Verdana Pro" w:hAnsi="Calibri" w:cs="Calibri"/>
                <w:sz w:val="20"/>
                <w:szCs w:val="20"/>
              </w:rPr>
              <w:t>ă</w:t>
            </w:r>
            <w:r w:rsidRPr="00801BA2">
              <w:rPr>
                <w:rFonts w:ascii="Verdana Pro" w:eastAsia="Verdana Pro" w:hAnsi="Verdana Pro" w:cs="Verdana Pro"/>
                <w:sz w:val="20"/>
                <w:szCs w:val="20"/>
              </w:rPr>
              <w:t>rârea de Guvern pentru aprobarea indicatorilor proiectului (est. Decembrie 2021);</w:t>
            </w:r>
          </w:p>
          <w:p w14:paraId="68642950" w14:textId="77777777" w:rsidR="00166785" w:rsidRPr="00801BA2" w:rsidRDefault="00166785" w:rsidP="004C574D">
            <w:pPr>
              <w:numPr>
                <w:ilvl w:val="0"/>
                <w:numId w:val="37"/>
              </w:numPr>
              <w:spacing w:line="259" w:lineRule="auto"/>
              <w:contextualSpacing/>
              <w:rPr>
                <w:rFonts w:ascii="Verdana Pro" w:eastAsia="Verdana Pro" w:hAnsi="Verdana Pro" w:cs="Verdana Pro"/>
                <w:sz w:val="20"/>
                <w:szCs w:val="20"/>
              </w:rPr>
            </w:pPr>
            <w:r w:rsidRPr="00801BA2">
              <w:rPr>
                <w:rFonts w:ascii="Verdana Pro" w:eastAsia="Verdana Pro" w:hAnsi="Verdana Pro" w:cs="Verdana Pro"/>
                <w:sz w:val="20"/>
                <w:szCs w:val="20"/>
              </w:rPr>
              <w:t>Procedura de mediu a fost finalizat</w:t>
            </w:r>
            <w:r w:rsidRPr="00801BA2">
              <w:rPr>
                <w:rFonts w:ascii="Calibri" w:eastAsia="Verdana Pro" w:hAnsi="Calibri" w:cs="Calibri"/>
                <w:sz w:val="20"/>
                <w:szCs w:val="20"/>
              </w:rPr>
              <w:t>ă</w:t>
            </w:r>
            <w:r w:rsidRPr="00801BA2">
              <w:rPr>
                <w:rFonts w:ascii="Verdana Pro" w:eastAsia="Verdana Pro" w:hAnsi="Verdana Pro" w:cs="Verdana Pro"/>
                <w:sz w:val="20"/>
                <w:szCs w:val="20"/>
              </w:rPr>
              <w:t xml:space="preserve"> prin emiterea Deciziei etapei de încadrare nr. 351/02.08.2021;</w:t>
            </w:r>
          </w:p>
          <w:p w14:paraId="6591DF31" w14:textId="77777777" w:rsidR="00166785" w:rsidRPr="00E85880" w:rsidRDefault="00166785" w:rsidP="004C574D">
            <w:pPr>
              <w:spacing w:line="276" w:lineRule="auto"/>
              <w:ind w:right="72"/>
              <w:rPr>
                <w:rFonts w:ascii="Verdana Pro" w:eastAsia="Verdana Pro" w:hAnsi="Verdana Pro" w:cs="Verdana Pro"/>
                <w:b/>
                <w:sz w:val="20"/>
                <w:szCs w:val="20"/>
              </w:rPr>
            </w:pPr>
            <w:r w:rsidRPr="7B61883B">
              <w:rPr>
                <w:rFonts w:ascii="Verdana Pro" w:eastAsia="Verdana Pro" w:hAnsi="Verdana Pro" w:cs="Verdana Pro"/>
                <w:b/>
                <w:sz w:val="20"/>
                <w:szCs w:val="20"/>
              </w:rPr>
              <w:t>Proiect matur</w:t>
            </w:r>
          </w:p>
          <w:p w14:paraId="282C41AE" w14:textId="77777777" w:rsidR="00166785" w:rsidRPr="000309A2" w:rsidRDefault="00166785" w:rsidP="004C574D">
            <w:pPr>
              <w:spacing w:line="259" w:lineRule="auto"/>
              <w:contextualSpacing/>
              <w:rPr>
                <w:rFonts w:ascii="Verdana Pro" w:eastAsia="Verdana Pro" w:hAnsi="Verdana Pro" w:cs="Verdana Pro"/>
                <w:sz w:val="20"/>
                <w:szCs w:val="20"/>
              </w:rPr>
            </w:pPr>
            <w:r w:rsidRPr="7B61883B">
              <w:rPr>
                <w:rFonts w:ascii="Verdana Pro" w:eastAsia="Verdana Pro" w:hAnsi="Verdana Pro" w:cs="Verdana Pro"/>
                <w:b/>
                <w:i/>
                <w:sz w:val="20"/>
                <w:szCs w:val="20"/>
              </w:rPr>
              <w:t>Nu s-a depus CF</w:t>
            </w:r>
          </w:p>
        </w:tc>
      </w:tr>
      <w:tr w:rsidR="00166785" w:rsidRPr="00FA073D" w14:paraId="66499D3B" w14:textId="77777777" w:rsidTr="00166785">
        <w:trPr>
          <w:trHeight w:val="269"/>
        </w:trPr>
        <w:tc>
          <w:tcPr>
            <w:tcW w:w="3420" w:type="dxa"/>
            <w:vAlign w:val="center"/>
          </w:tcPr>
          <w:p w14:paraId="719EEE9D"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ABA BUZAU-IALOMITA</w:t>
            </w:r>
          </w:p>
          <w:p w14:paraId="7934E615"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Reducerea riscului la inunda</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ii în bazinul hidrografic Ialomi</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a, aval de acumularea Pucioasa - Componenta I BH Ialomi</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a Superioara</w:t>
            </w:r>
          </w:p>
        </w:tc>
        <w:tc>
          <w:tcPr>
            <w:tcW w:w="2070" w:type="dxa"/>
            <w:vAlign w:val="center"/>
          </w:tcPr>
          <w:p w14:paraId="7D6BA6F1"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121.792.646,72</w:t>
            </w:r>
          </w:p>
        </w:tc>
        <w:tc>
          <w:tcPr>
            <w:tcW w:w="9090" w:type="dxa"/>
          </w:tcPr>
          <w:p w14:paraId="25F05A5F" w14:textId="77777777" w:rsidR="00166785" w:rsidRPr="003736B0" w:rsidRDefault="00166785" w:rsidP="004C574D">
            <w:pPr>
              <w:numPr>
                <w:ilvl w:val="0"/>
                <w:numId w:val="37"/>
              </w:numPr>
              <w:spacing w:line="259" w:lineRule="auto"/>
              <w:contextualSpacing/>
              <w:rPr>
                <w:rFonts w:ascii="Verdana Pro" w:eastAsia="Verdana Pro" w:hAnsi="Verdana Pro" w:cs="Verdana Pro"/>
                <w:sz w:val="20"/>
                <w:szCs w:val="20"/>
              </w:rPr>
            </w:pPr>
            <w:r w:rsidRPr="003736B0">
              <w:rPr>
                <w:rFonts w:ascii="Verdana Pro" w:eastAsia="Verdana Pro" w:hAnsi="Verdana Pro" w:cs="Verdana Pro"/>
                <w:sz w:val="20"/>
                <w:szCs w:val="20"/>
              </w:rPr>
              <w:t>A fost obtinut avizul Aviz CTE ANAR nr.67/11.10.2021</w:t>
            </w:r>
          </w:p>
          <w:p w14:paraId="10C7BADE" w14:textId="77777777" w:rsidR="00166785" w:rsidRPr="003736B0" w:rsidRDefault="00166785" w:rsidP="004C574D">
            <w:pPr>
              <w:numPr>
                <w:ilvl w:val="0"/>
                <w:numId w:val="37"/>
              </w:numPr>
              <w:spacing w:line="259" w:lineRule="auto"/>
              <w:contextualSpacing/>
              <w:rPr>
                <w:rFonts w:ascii="Verdana Pro" w:eastAsia="Verdana Pro" w:hAnsi="Verdana Pro" w:cs="Verdana Pro"/>
                <w:sz w:val="20"/>
                <w:szCs w:val="20"/>
              </w:rPr>
            </w:pPr>
            <w:r w:rsidRPr="003736B0">
              <w:rPr>
                <w:rFonts w:ascii="Verdana Pro" w:eastAsia="Verdana Pro" w:hAnsi="Verdana Pro" w:cs="Verdana Pro"/>
                <w:sz w:val="20"/>
                <w:szCs w:val="20"/>
              </w:rPr>
              <w:t>A fost obtinut avizul Aviz  CTE MMAP din data de 22.11.2021.</w:t>
            </w:r>
          </w:p>
          <w:p w14:paraId="59588DA5" w14:textId="77777777" w:rsidR="00166785" w:rsidRPr="003736B0" w:rsidRDefault="00166785" w:rsidP="004C574D">
            <w:pPr>
              <w:numPr>
                <w:ilvl w:val="0"/>
                <w:numId w:val="37"/>
              </w:numPr>
              <w:spacing w:line="259" w:lineRule="auto"/>
              <w:contextualSpacing/>
              <w:rPr>
                <w:rFonts w:ascii="Verdana Pro" w:eastAsia="Verdana Pro" w:hAnsi="Verdana Pro" w:cs="Verdana Pro"/>
                <w:sz w:val="20"/>
                <w:szCs w:val="20"/>
              </w:rPr>
            </w:pPr>
            <w:r w:rsidRPr="003736B0">
              <w:rPr>
                <w:rFonts w:ascii="Verdana Pro" w:eastAsia="Verdana Pro" w:hAnsi="Verdana Pro" w:cs="Verdana Pro"/>
                <w:sz w:val="20"/>
                <w:szCs w:val="20"/>
              </w:rPr>
              <w:t>A fost obtinut avizul Aviz CTE Interministerial din data de 24.11.2021</w:t>
            </w:r>
          </w:p>
          <w:p w14:paraId="353ED938" w14:textId="77777777" w:rsidR="00166785" w:rsidRPr="003736B0" w:rsidRDefault="00166785" w:rsidP="004C574D">
            <w:pPr>
              <w:numPr>
                <w:ilvl w:val="0"/>
                <w:numId w:val="37"/>
              </w:numPr>
              <w:spacing w:line="259" w:lineRule="auto"/>
              <w:contextualSpacing/>
              <w:rPr>
                <w:rFonts w:ascii="Verdana Pro" w:eastAsia="Verdana Pro" w:hAnsi="Verdana Pro" w:cs="Verdana Pro"/>
                <w:sz w:val="20"/>
                <w:szCs w:val="20"/>
              </w:rPr>
            </w:pPr>
            <w:r w:rsidRPr="003736B0">
              <w:rPr>
                <w:rFonts w:ascii="Verdana Pro" w:eastAsia="Verdana Pro" w:hAnsi="Verdana Pro" w:cs="Verdana Pro"/>
                <w:sz w:val="20"/>
                <w:szCs w:val="20"/>
              </w:rPr>
              <w:t>Urmeaz</w:t>
            </w:r>
            <w:r w:rsidRPr="003736B0">
              <w:rPr>
                <w:rFonts w:ascii="Calibri" w:eastAsia="Verdana Pro" w:hAnsi="Calibri" w:cs="Calibri"/>
                <w:sz w:val="20"/>
                <w:szCs w:val="20"/>
              </w:rPr>
              <w:t>ă</w:t>
            </w:r>
            <w:r w:rsidRPr="003736B0">
              <w:rPr>
                <w:rFonts w:ascii="Verdana Pro" w:eastAsia="Verdana Pro" w:hAnsi="Verdana Pro" w:cs="Verdana Pro"/>
                <w:sz w:val="20"/>
                <w:szCs w:val="20"/>
              </w:rPr>
              <w:t xml:space="preserve"> a fi emisa Hotararea de Guvern pentru aprobarea indicatorilor proiectului (termen estimat Decembrie 2021).  </w:t>
            </w:r>
          </w:p>
          <w:p w14:paraId="472010DC" w14:textId="77777777" w:rsidR="00166785" w:rsidRPr="003736B0" w:rsidRDefault="00166785" w:rsidP="004C574D">
            <w:pPr>
              <w:numPr>
                <w:ilvl w:val="0"/>
                <w:numId w:val="37"/>
              </w:numPr>
              <w:spacing w:line="259" w:lineRule="auto"/>
              <w:contextualSpacing/>
              <w:rPr>
                <w:rFonts w:ascii="Verdana Pro" w:eastAsia="Verdana Pro" w:hAnsi="Verdana Pro" w:cs="Verdana Pro"/>
                <w:sz w:val="20"/>
                <w:szCs w:val="20"/>
              </w:rPr>
            </w:pPr>
            <w:r w:rsidRPr="003736B0">
              <w:rPr>
                <w:rFonts w:ascii="Verdana Pro" w:eastAsia="Verdana Pro" w:hAnsi="Verdana Pro" w:cs="Verdana Pro"/>
                <w:sz w:val="20"/>
                <w:szCs w:val="20"/>
              </w:rPr>
              <w:t>Procedura de mediu a fost finalizata prin emiterea Acordului de mediu nr. 12/ 13.08.2021</w:t>
            </w:r>
            <w:r w:rsidRPr="7B61883B">
              <w:rPr>
                <w:rFonts w:ascii="Verdana Pro" w:eastAsia="Verdana Pro" w:hAnsi="Verdana Pro" w:cs="Verdana Pro"/>
                <w:sz w:val="20"/>
                <w:szCs w:val="20"/>
              </w:rPr>
              <w:t>.</w:t>
            </w:r>
          </w:p>
          <w:p w14:paraId="3433A7C2" w14:textId="77777777" w:rsidR="00166785" w:rsidRPr="00E27420" w:rsidRDefault="00166785" w:rsidP="004C574D">
            <w:pPr>
              <w:spacing w:line="276" w:lineRule="auto"/>
              <w:ind w:right="72"/>
              <w:jc w:val="both"/>
              <w:rPr>
                <w:rFonts w:ascii="Verdana Pro" w:eastAsia="Verdana Pro" w:hAnsi="Verdana Pro" w:cs="Verdana Pro"/>
                <w:b/>
                <w:sz w:val="20"/>
                <w:szCs w:val="20"/>
              </w:rPr>
            </w:pPr>
            <w:r w:rsidRPr="7B61883B">
              <w:rPr>
                <w:rFonts w:ascii="Verdana Pro" w:eastAsia="Verdana Pro" w:hAnsi="Verdana Pro" w:cs="Verdana Pro"/>
                <w:b/>
                <w:sz w:val="20"/>
                <w:szCs w:val="20"/>
              </w:rPr>
              <w:t xml:space="preserve">Proiect matur </w:t>
            </w:r>
          </w:p>
          <w:p w14:paraId="3CB77D2B" w14:textId="77777777" w:rsidR="00166785" w:rsidRPr="00E85880" w:rsidRDefault="00166785" w:rsidP="004C574D">
            <w:pPr>
              <w:spacing w:line="276" w:lineRule="auto"/>
              <w:ind w:right="72"/>
              <w:rPr>
                <w:rFonts w:ascii="Verdana Pro" w:eastAsia="Verdana Pro" w:hAnsi="Verdana Pro" w:cs="Verdana Pro"/>
                <w:b/>
                <w:i/>
                <w:sz w:val="20"/>
                <w:szCs w:val="20"/>
              </w:rPr>
            </w:pPr>
            <w:r w:rsidRPr="7B61883B">
              <w:rPr>
                <w:rFonts w:ascii="Verdana Pro" w:eastAsia="Verdana Pro" w:hAnsi="Verdana Pro" w:cs="Verdana Pro"/>
                <w:b/>
                <w:i/>
                <w:sz w:val="20"/>
                <w:szCs w:val="20"/>
              </w:rPr>
              <w:t>In implementare</w:t>
            </w:r>
          </w:p>
        </w:tc>
      </w:tr>
      <w:tr w:rsidR="00166785" w:rsidRPr="00FA073D" w14:paraId="77FB6FCB" w14:textId="77777777" w:rsidTr="00166785">
        <w:trPr>
          <w:trHeight w:val="1363"/>
        </w:trPr>
        <w:tc>
          <w:tcPr>
            <w:tcW w:w="3420" w:type="dxa"/>
            <w:vAlign w:val="center"/>
          </w:tcPr>
          <w:p w14:paraId="3121CCA2"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ABA BUZAU-IALOMITA</w:t>
            </w:r>
          </w:p>
          <w:p w14:paraId="78B4216A"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6B271DC3">
              <w:rPr>
                <w:rFonts w:ascii="Verdana Pro" w:eastAsia="Verdana Pro" w:hAnsi="Verdana Pro" w:cs="Verdana Pro"/>
                <w:b/>
                <w:sz w:val="20"/>
                <w:szCs w:val="20"/>
              </w:rPr>
              <w:t>Reducerea riscului la inunda</w:t>
            </w:r>
            <w:r w:rsidRPr="6B271DC3">
              <w:rPr>
                <w:rFonts w:ascii="Calibri" w:eastAsia="Verdana Pro" w:hAnsi="Calibri" w:cs="Calibri"/>
                <w:b/>
                <w:sz w:val="20"/>
                <w:szCs w:val="20"/>
              </w:rPr>
              <w:t>ț</w:t>
            </w:r>
            <w:r w:rsidRPr="6B271DC3">
              <w:rPr>
                <w:rFonts w:ascii="Verdana Pro" w:eastAsia="Verdana Pro" w:hAnsi="Verdana Pro" w:cs="Verdana Pro"/>
                <w:b/>
                <w:sz w:val="20"/>
                <w:szCs w:val="20"/>
              </w:rPr>
              <w:t>ii în BH Ialomi</w:t>
            </w:r>
            <w:r w:rsidRPr="6B271DC3">
              <w:rPr>
                <w:rFonts w:ascii="Calibri" w:eastAsia="Verdana Pro" w:hAnsi="Calibri" w:cs="Calibri"/>
                <w:b/>
                <w:sz w:val="20"/>
                <w:szCs w:val="20"/>
              </w:rPr>
              <w:t>ț</w:t>
            </w:r>
            <w:r w:rsidRPr="6B271DC3">
              <w:rPr>
                <w:rFonts w:ascii="Verdana Pro" w:eastAsia="Verdana Pro" w:hAnsi="Verdana Pro" w:cs="Verdana Pro"/>
                <w:b/>
                <w:sz w:val="20"/>
                <w:szCs w:val="20"/>
              </w:rPr>
              <w:t>a, aval acumularea Pucioasa - Componenta II BH Prahova</w:t>
            </w:r>
          </w:p>
        </w:tc>
        <w:tc>
          <w:tcPr>
            <w:tcW w:w="2070" w:type="dxa"/>
            <w:vAlign w:val="center"/>
          </w:tcPr>
          <w:p w14:paraId="3172D30C"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226.557.315</w:t>
            </w:r>
          </w:p>
        </w:tc>
        <w:tc>
          <w:tcPr>
            <w:tcW w:w="9090" w:type="dxa"/>
          </w:tcPr>
          <w:p w14:paraId="1D1750CC" w14:textId="77777777" w:rsidR="00166785" w:rsidRPr="002D15B7" w:rsidRDefault="00166785" w:rsidP="004C574D">
            <w:pPr>
              <w:numPr>
                <w:ilvl w:val="0"/>
                <w:numId w:val="37"/>
              </w:numPr>
              <w:spacing w:line="259" w:lineRule="auto"/>
              <w:contextualSpacing/>
              <w:rPr>
                <w:rFonts w:ascii="Verdana Pro" w:eastAsia="Verdana Pro" w:hAnsi="Verdana Pro" w:cs="Verdana Pro"/>
                <w:sz w:val="20"/>
                <w:szCs w:val="20"/>
              </w:rPr>
            </w:pPr>
            <w:r w:rsidRPr="002D15B7">
              <w:rPr>
                <w:rFonts w:ascii="Verdana Pro" w:eastAsia="Verdana Pro" w:hAnsi="Verdana Pro" w:cs="Verdana Pro"/>
                <w:sz w:val="20"/>
                <w:szCs w:val="20"/>
              </w:rPr>
              <w:t xml:space="preserve">A fost obtinut avizul CTE ABABI nr. 22/07.12.2020;  </w:t>
            </w:r>
          </w:p>
          <w:p w14:paraId="228368FE" w14:textId="77777777" w:rsidR="00166785" w:rsidRPr="002D15B7" w:rsidRDefault="00166785" w:rsidP="004C574D">
            <w:pPr>
              <w:numPr>
                <w:ilvl w:val="0"/>
                <w:numId w:val="37"/>
              </w:numPr>
              <w:spacing w:line="259" w:lineRule="auto"/>
              <w:contextualSpacing/>
              <w:rPr>
                <w:rFonts w:ascii="Verdana Pro" w:eastAsia="Verdana Pro" w:hAnsi="Verdana Pro" w:cs="Verdana Pro"/>
                <w:sz w:val="20"/>
                <w:szCs w:val="20"/>
              </w:rPr>
            </w:pPr>
            <w:r w:rsidRPr="002D15B7">
              <w:rPr>
                <w:rFonts w:ascii="Verdana Pro" w:eastAsia="Verdana Pro" w:hAnsi="Verdana Pro" w:cs="Verdana Pro"/>
                <w:sz w:val="20"/>
                <w:szCs w:val="20"/>
              </w:rPr>
              <w:t>A avut loc sedinta dezbatere publica RIM/EA/SEICA in data de 25.11.2021</w:t>
            </w:r>
          </w:p>
          <w:p w14:paraId="265FABAC" w14:textId="77777777" w:rsidR="00166785" w:rsidRPr="002D15B7" w:rsidRDefault="00166785" w:rsidP="004C574D">
            <w:pPr>
              <w:numPr>
                <w:ilvl w:val="0"/>
                <w:numId w:val="37"/>
              </w:numPr>
              <w:spacing w:line="259" w:lineRule="auto"/>
              <w:contextualSpacing/>
              <w:rPr>
                <w:rFonts w:ascii="Verdana Pro" w:eastAsia="Verdana Pro" w:hAnsi="Verdana Pro" w:cs="Verdana Pro"/>
                <w:sz w:val="20"/>
                <w:szCs w:val="20"/>
              </w:rPr>
            </w:pPr>
            <w:r w:rsidRPr="002D15B7">
              <w:rPr>
                <w:rFonts w:ascii="Verdana Pro" w:eastAsia="Verdana Pro" w:hAnsi="Verdana Pro" w:cs="Verdana Pro"/>
                <w:sz w:val="20"/>
                <w:szCs w:val="20"/>
              </w:rPr>
              <w:t xml:space="preserve">Este in curs de realizare documentatia necesara H.G. pentru exproprierea terenurilor </w:t>
            </w:r>
          </w:p>
          <w:p w14:paraId="3F499F54" w14:textId="77777777" w:rsidR="00166785" w:rsidRPr="002D15B7" w:rsidRDefault="00166785" w:rsidP="004C574D">
            <w:pPr>
              <w:numPr>
                <w:ilvl w:val="0"/>
                <w:numId w:val="37"/>
              </w:numPr>
              <w:spacing w:line="259" w:lineRule="auto"/>
              <w:contextualSpacing/>
              <w:rPr>
                <w:rFonts w:ascii="Verdana Pro" w:eastAsia="Verdana Pro" w:hAnsi="Verdana Pro" w:cs="Verdana Pro"/>
                <w:sz w:val="20"/>
                <w:szCs w:val="20"/>
              </w:rPr>
            </w:pPr>
            <w:r w:rsidRPr="002D15B7">
              <w:rPr>
                <w:rFonts w:ascii="Verdana Pro" w:eastAsia="Verdana Pro" w:hAnsi="Verdana Pro" w:cs="Verdana Pro"/>
                <w:sz w:val="20"/>
                <w:szCs w:val="20"/>
              </w:rPr>
              <w:t xml:space="preserve">Aplicatia de finantare a proiectului a fost depusa spre verificare la Autoritatea de Management. </w:t>
            </w:r>
          </w:p>
          <w:p w14:paraId="06723C0D" w14:textId="77777777" w:rsidR="00166785" w:rsidRPr="002D15B7" w:rsidRDefault="00166785" w:rsidP="004C574D">
            <w:pPr>
              <w:numPr>
                <w:ilvl w:val="0"/>
                <w:numId w:val="37"/>
              </w:numPr>
              <w:spacing w:line="259" w:lineRule="auto"/>
              <w:contextualSpacing/>
              <w:rPr>
                <w:rFonts w:ascii="Verdana Pro" w:eastAsia="Verdana Pro" w:hAnsi="Verdana Pro" w:cs="Verdana Pro"/>
                <w:sz w:val="20"/>
                <w:szCs w:val="20"/>
              </w:rPr>
            </w:pPr>
            <w:r w:rsidRPr="002D15B7">
              <w:rPr>
                <w:rFonts w:ascii="Verdana Pro" w:eastAsia="Verdana Pro" w:hAnsi="Verdana Pro" w:cs="Verdana Pro"/>
                <w:sz w:val="20"/>
                <w:szCs w:val="20"/>
              </w:rPr>
              <w:t>Proiectul in forma transmisa are obtinute avizele solicitate prin Certificatul de urbanism si a fost aprobat in comisiile tehnico-economice ABA si ANAR (Decembrie 2021, urmand a intra in avizare la MMAP (est. Decembrie 2021) si Consiliul Interministerial pentru emiterea Hotararii de Guvern pentru aprobarea indicatorilor proiectului;</w:t>
            </w:r>
          </w:p>
          <w:p w14:paraId="67766CBA" w14:textId="77777777" w:rsidR="00166785" w:rsidRPr="002D15B7" w:rsidRDefault="00166785" w:rsidP="004C574D">
            <w:pPr>
              <w:numPr>
                <w:ilvl w:val="0"/>
                <w:numId w:val="37"/>
              </w:numPr>
              <w:spacing w:line="259" w:lineRule="auto"/>
              <w:contextualSpacing/>
              <w:rPr>
                <w:rFonts w:ascii="Verdana Pro" w:eastAsia="Verdana Pro" w:hAnsi="Verdana Pro" w:cs="Verdana Pro"/>
                <w:sz w:val="20"/>
                <w:szCs w:val="20"/>
              </w:rPr>
            </w:pPr>
            <w:r w:rsidRPr="002D15B7">
              <w:rPr>
                <w:rFonts w:ascii="Verdana Pro" w:eastAsia="Verdana Pro" w:hAnsi="Verdana Pro" w:cs="Verdana Pro"/>
                <w:sz w:val="20"/>
                <w:szCs w:val="20"/>
              </w:rPr>
              <w:t>Procedura de mediu in curs de finalizare (estimata Decembrie 2021</w:t>
            </w:r>
            <w:r w:rsidRPr="7B61883B">
              <w:rPr>
                <w:rFonts w:ascii="Verdana Pro" w:eastAsia="Verdana Pro" w:hAnsi="Verdana Pro" w:cs="Verdana Pro"/>
                <w:sz w:val="20"/>
                <w:szCs w:val="20"/>
              </w:rPr>
              <w:t>).</w:t>
            </w:r>
          </w:p>
          <w:p w14:paraId="453609A4" w14:textId="77777777" w:rsidR="00166785" w:rsidRPr="00E27420" w:rsidRDefault="00166785" w:rsidP="004C574D">
            <w:pPr>
              <w:spacing w:line="276" w:lineRule="auto"/>
              <w:ind w:right="72"/>
              <w:jc w:val="both"/>
              <w:rPr>
                <w:rFonts w:ascii="Verdana Pro" w:eastAsia="Verdana Pro" w:hAnsi="Verdana Pro" w:cs="Verdana Pro"/>
                <w:b/>
                <w:sz w:val="20"/>
                <w:szCs w:val="20"/>
              </w:rPr>
            </w:pPr>
            <w:r w:rsidRPr="7B61883B">
              <w:rPr>
                <w:rFonts w:ascii="Verdana Pro" w:eastAsia="Verdana Pro" w:hAnsi="Verdana Pro" w:cs="Verdana Pro"/>
                <w:b/>
                <w:sz w:val="20"/>
                <w:szCs w:val="20"/>
              </w:rPr>
              <w:t xml:space="preserve">Proiect matur </w:t>
            </w:r>
          </w:p>
          <w:p w14:paraId="451CABE6" w14:textId="77777777" w:rsidR="00166785" w:rsidRPr="00E85880" w:rsidRDefault="00166785" w:rsidP="004C574D">
            <w:pPr>
              <w:spacing w:line="276" w:lineRule="auto"/>
              <w:ind w:right="72"/>
              <w:rPr>
                <w:rFonts w:ascii="Verdana Pro" w:eastAsia="Verdana Pro" w:hAnsi="Verdana Pro" w:cs="Verdana Pro"/>
                <w:b/>
                <w:i/>
                <w:sz w:val="20"/>
                <w:szCs w:val="20"/>
              </w:rPr>
            </w:pPr>
            <w:r w:rsidRPr="7B61883B">
              <w:rPr>
                <w:rFonts w:ascii="Verdana Pro" w:eastAsia="Verdana Pro" w:hAnsi="Verdana Pro" w:cs="Verdana Pro"/>
                <w:b/>
                <w:i/>
                <w:sz w:val="20"/>
                <w:szCs w:val="20"/>
              </w:rPr>
              <w:t>Nu s-a depus CF</w:t>
            </w:r>
          </w:p>
        </w:tc>
      </w:tr>
      <w:tr w:rsidR="00166785" w:rsidRPr="00FA073D" w14:paraId="248B46D0" w14:textId="77777777" w:rsidTr="00166785">
        <w:trPr>
          <w:trHeight w:val="1108"/>
        </w:trPr>
        <w:tc>
          <w:tcPr>
            <w:tcW w:w="3420" w:type="dxa"/>
            <w:vAlign w:val="center"/>
          </w:tcPr>
          <w:p w14:paraId="03FCA567"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lastRenderedPageBreak/>
              <w:t>ABA SIRET</w:t>
            </w:r>
          </w:p>
          <w:p w14:paraId="0E620E34"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Managementul riscului la inunda</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ii în bazinul râului Suceava, jude</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ul Suceava</w:t>
            </w:r>
          </w:p>
        </w:tc>
        <w:tc>
          <w:tcPr>
            <w:tcW w:w="2070" w:type="dxa"/>
            <w:vAlign w:val="center"/>
          </w:tcPr>
          <w:p w14:paraId="62C793B1"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239.759.447</w:t>
            </w:r>
          </w:p>
          <w:p w14:paraId="1D79CCFD" w14:textId="77777777" w:rsidR="00166785" w:rsidRPr="00E85880" w:rsidRDefault="00166785" w:rsidP="004C574D">
            <w:pPr>
              <w:spacing w:line="276" w:lineRule="auto"/>
              <w:ind w:right="72"/>
              <w:rPr>
                <w:rFonts w:ascii="Verdana Pro" w:eastAsia="Verdana Pro" w:hAnsi="Verdana Pro" w:cs="Verdana Pro"/>
                <w:b/>
                <w:sz w:val="20"/>
                <w:szCs w:val="20"/>
              </w:rPr>
            </w:pPr>
          </w:p>
        </w:tc>
        <w:tc>
          <w:tcPr>
            <w:tcW w:w="9090" w:type="dxa"/>
          </w:tcPr>
          <w:p w14:paraId="64B9B7A9" w14:textId="77777777" w:rsidR="00166785" w:rsidRPr="00D1623E" w:rsidRDefault="00166785" w:rsidP="004C574D">
            <w:pPr>
              <w:numPr>
                <w:ilvl w:val="0"/>
                <w:numId w:val="42"/>
              </w:numPr>
              <w:spacing w:line="259" w:lineRule="auto"/>
              <w:contextualSpacing/>
              <w:jc w:val="both"/>
              <w:rPr>
                <w:rFonts w:ascii="Verdana Pro" w:eastAsia="Verdana Pro" w:hAnsi="Verdana Pro" w:cs="Verdana Pro"/>
                <w:sz w:val="20"/>
                <w:szCs w:val="20"/>
              </w:rPr>
            </w:pPr>
            <w:r w:rsidRPr="00D1623E">
              <w:rPr>
                <w:rFonts w:ascii="Verdana Pro" w:eastAsia="Verdana Pro" w:hAnsi="Verdana Pro" w:cs="Verdana Pro"/>
                <w:sz w:val="20"/>
                <w:szCs w:val="20"/>
              </w:rPr>
              <w:t xml:space="preserve">Aplicatia de finantare a proiectului a fost depusa spre verificare la Autoritatea de Management; </w:t>
            </w:r>
          </w:p>
          <w:p w14:paraId="43C7BF9C" w14:textId="77777777" w:rsidR="00166785" w:rsidRPr="00D1623E" w:rsidRDefault="00166785" w:rsidP="004C574D">
            <w:pPr>
              <w:numPr>
                <w:ilvl w:val="0"/>
                <w:numId w:val="42"/>
              </w:numPr>
              <w:spacing w:line="259" w:lineRule="auto"/>
              <w:contextualSpacing/>
              <w:jc w:val="both"/>
              <w:rPr>
                <w:rFonts w:ascii="Verdana Pro" w:eastAsia="Verdana Pro" w:hAnsi="Verdana Pro" w:cs="Verdana Pro"/>
                <w:sz w:val="20"/>
                <w:szCs w:val="20"/>
              </w:rPr>
            </w:pPr>
            <w:r w:rsidRPr="00D1623E">
              <w:rPr>
                <w:rFonts w:ascii="Verdana Pro" w:eastAsia="Verdana Pro" w:hAnsi="Verdana Pro" w:cs="Verdana Pro"/>
                <w:sz w:val="20"/>
                <w:szCs w:val="20"/>
              </w:rPr>
              <w:t xml:space="preserve">Proiectul </w:t>
            </w:r>
            <w:r w:rsidRPr="7B61883B">
              <w:rPr>
                <w:rFonts w:ascii="Verdana Pro" w:eastAsia="Verdana Pro" w:hAnsi="Verdana Pro" w:cs="Verdana Pro"/>
                <w:sz w:val="20"/>
                <w:szCs w:val="20"/>
              </w:rPr>
              <w:t>(</w:t>
            </w:r>
            <w:r w:rsidRPr="00D1623E">
              <w:rPr>
                <w:rFonts w:ascii="Verdana Pro" w:eastAsia="Verdana Pro" w:hAnsi="Verdana Pro" w:cs="Verdana Pro"/>
                <w:sz w:val="20"/>
                <w:szCs w:val="20"/>
              </w:rPr>
              <w:t>in forma transmisa</w:t>
            </w:r>
            <w:r w:rsidRPr="7B61883B">
              <w:rPr>
                <w:rFonts w:ascii="Verdana Pro" w:eastAsia="Verdana Pro" w:hAnsi="Verdana Pro" w:cs="Verdana Pro"/>
                <w:sz w:val="20"/>
                <w:szCs w:val="20"/>
              </w:rPr>
              <w:t>)</w:t>
            </w:r>
            <w:r w:rsidRPr="00D1623E">
              <w:rPr>
                <w:rFonts w:ascii="Verdana Pro" w:eastAsia="Verdana Pro" w:hAnsi="Verdana Pro" w:cs="Verdana Pro"/>
                <w:sz w:val="20"/>
                <w:szCs w:val="20"/>
              </w:rPr>
              <w:t xml:space="preserve"> are obtinute avizele solicitate prin Certificatul de urbanism si a fost aprobat in comisiile tehnico-economice ABA si ANAR (Decembrie 2021, urmand a intra in avizare la MMAP</w:t>
            </w:r>
            <w:r w:rsidRPr="7B61883B">
              <w:rPr>
                <w:rFonts w:ascii="Verdana Pro" w:eastAsia="Verdana Pro" w:hAnsi="Verdana Pro" w:cs="Verdana Pro"/>
                <w:sz w:val="20"/>
                <w:szCs w:val="20"/>
              </w:rPr>
              <w:t xml:space="preserve"> </w:t>
            </w:r>
            <w:r w:rsidRPr="00D1623E">
              <w:rPr>
                <w:rFonts w:ascii="Verdana Pro" w:eastAsia="Verdana Pro" w:hAnsi="Verdana Pro" w:cs="Verdana Pro"/>
                <w:sz w:val="20"/>
                <w:szCs w:val="20"/>
              </w:rPr>
              <w:t>(est. Decembrie 2021) si Consiliu Interministerial pentru emiterea Hotararii de Guvern pentru aprobarea indicatorilor proiectului;</w:t>
            </w:r>
          </w:p>
          <w:p w14:paraId="610EAF1E" w14:textId="77777777" w:rsidR="00166785" w:rsidRPr="00D1623E" w:rsidRDefault="00166785" w:rsidP="004C574D">
            <w:pPr>
              <w:numPr>
                <w:ilvl w:val="0"/>
                <w:numId w:val="42"/>
              </w:numPr>
              <w:spacing w:line="259" w:lineRule="auto"/>
              <w:contextualSpacing/>
              <w:jc w:val="both"/>
              <w:rPr>
                <w:rFonts w:ascii="Verdana Pro" w:eastAsia="Verdana Pro" w:hAnsi="Verdana Pro" w:cs="Verdana Pro"/>
                <w:sz w:val="20"/>
                <w:szCs w:val="20"/>
              </w:rPr>
            </w:pPr>
            <w:r w:rsidRPr="00D1623E">
              <w:rPr>
                <w:rFonts w:ascii="Verdana Pro" w:eastAsia="Verdana Pro" w:hAnsi="Verdana Pro" w:cs="Verdana Pro"/>
                <w:sz w:val="20"/>
                <w:szCs w:val="20"/>
              </w:rPr>
              <w:t>Procedura de mediu este in curs de finalizare</w:t>
            </w:r>
            <w:r w:rsidRPr="7B61883B">
              <w:rPr>
                <w:rFonts w:ascii="Verdana Pro" w:eastAsia="Verdana Pro" w:hAnsi="Verdana Pro" w:cs="Verdana Pro"/>
                <w:sz w:val="20"/>
                <w:szCs w:val="20"/>
              </w:rPr>
              <w:t>;</w:t>
            </w:r>
            <w:r w:rsidRPr="00D1623E">
              <w:rPr>
                <w:rFonts w:ascii="Verdana Pro" w:eastAsia="Verdana Pro" w:hAnsi="Verdana Pro" w:cs="Verdana Pro"/>
                <w:sz w:val="20"/>
                <w:szCs w:val="20"/>
              </w:rPr>
              <w:t xml:space="preserve"> APM Suceava a emis Decizia privind emiterea Acordului de mediu prin adresa nr. 13706/ 24.11.2021;</w:t>
            </w:r>
          </w:p>
          <w:p w14:paraId="0B60FDE0" w14:textId="77777777" w:rsidR="00166785" w:rsidRPr="000309A2" w:rsidRDefault="00166785" w:rsidP="004C574D">
            <w:pPr>
              <w:spacing w:line="276" w:lineRule="auto"/>
              <w:ind w:right="72"/>
              <w:jc w:val="both"/>
              <w:rPr>
                <w:rFonts w:ascii="Verdana Pro" w:eastAsia="Verdana Pro" w:hAnsi="Verdana Pro" w:cs="Verdana Pro"/>
                <w:b/>
                <w:sz w:val="20"/>
                <w:szCs w:val="20"/>
              </w:rPr>
            </w:pPr>
            <w:r w:rsidRPr="7B61883B">
              <w:rPr>
                <w:rFonts w:ascii="Verdana Pro" w:eastAsia="Verdana Pro" w:hAnsi="Verdana Pro" w:cs="Verdana Pro"/>
                <w:b/>
                <w:sz w:val="20"/>
                <w:szCs w:val="20"/>
              </w:rPr>
              <w:t xml:space="preserve">Proiect matur </w:t>
            </w:r>
          </w:p>
          <w:p w14:paraId="22F8240A" w14:textId="77777777" w:rsidR="00166785" w:rsidRPr="00E85880" w:rsidRDefault="00166785" w:rsidP="004C574D">
            <w:pPr>
              <w:spacing w:line="276" w:lineRule="auto"/>
              <w:ind w:right="72"/>
              <w:rPr>
                <w:rFonts w:ascii="Verdana Pro" w:eastAsia="Verdana Pro" w:hAnsi="Verdana Pro" w:cs="Verdana Pro"/>
                <w:b/>
                <w:i/>
                <w:sz w:val="20"/>
                <w:szCs w:val="20"/>
              </w:rPr>
            </w:pPr>
            <w:r w:rsidRPr="7B61883B">
              <w:rPr>
                <w:rFonts w:ascii="Verdana Pro" w:eastAsia="Verdana Pro" w:hAnsi="Verdana Pro" w:cs="Verdana Pro"/>
                <w:b/>
                <w:i/>
                <w:sz w:val="20"/>
                <w:szCs w:val="20"/>
              </w:rPr>
              <w:t>Nu s-a depus CF</w:t>
            </w:r>
          </w:p>
        </w:tc>
      </w:tr>
      <w:tr w:rsidR="00166785" w:rsidRPr="00FA073D" w14:paraId="203FAEF2" w14:textId="77777777" w:rsidTr="00166785">
        <w:trPr>
          <w:trHeight w:val="530"/>
        </w:trPr>
        <w:tc>
          <w:tcPr>
            <w:tcW w:w="3420" w:type="dxa"/>
            <w:vAlign w:val="center"/>
            <w:hideMark/>
          </w:tcPr>
          <w:p w14:paraId="0E284F5D"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ABA PRUT-BARLAD</w:t>
            </w:r>
          </w:p>
          <w:p w14:paraId="3B79664C" w14:textId="77777777" w:rsidR="00166785" w:rsidRPr="00E85880"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Reducerea riscului la inunda</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ii a municipiului Tecuci, jude</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ul Gala</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i</w:t>
            </w:r>
          </w:p>
        </w:tc>
        <w:tc>
          <w:tcPr>
            <w:tcW w:w="2070" w:type="dxa"/>
            <w:vAlign w:val="center"/>
          </w:tcPr>
          <w:p w14:paraId="3B563E56" w14:textId="77777777" w:rsidR="00166785" w:rsidRPr="00E85880" w:rsidRDefault="00166785" w:rsidP="004C574D">
            <w:pPr>
              <w:spacing w:line="276" w:lineRule="auto"/>
              <w:ind w:right="72"/>
              <w:rPr>
                <w:rFonts w:ascii="Verdana Pro" w:eastAsia="Verdana Pro" w:hAnsi="Verdana Pro" w:cs="Verdana Pro"/>
                <w:b/>
                <w:i/>
                <w:sz w:val="20"/>
                <w:szCs w:val="20"/>
              </w:rPr>
            </w:pPr>
            <w:r w:rsidRPr="6B271DC3">
              <w:rPr>
                <w:rFonts w:ascii="Verdana Pro" w:eastAsia="Verdana Pro" w:hAnsi="Verdana Pro" w:cs="Verdana Pro"/>
                <w:b/>
                <w:i/>
                <w:sz w:val="20"/>
                <w:szCs w:val="20"/>
              </w:rPr>
              <w:t>217.571.493,71</w:t>
            </w:r>
          </w:p>
        </w:tc>
        <w:tc>
          <w:tcPr>
            <w:tcW w:w="9090" w:type="dxa"/>
          </w:tcPr>
          <w:p w14:paraId="76A24314" w14:textId="77777777" w:rsidR="00166785" w:rsidRPr="003367EA" w:rsidRDefault="00166785" w:rsidP="004C574D">
            <w:pPr>
              <w:pStyle w:val="ListParagraph"/>
              <w:numPr>
                <w:ilvl w:val="0"/>
                <w:numId w:val="41"/>
              </w:numPr>
              <w:spacing w:line="259" w:lineRule="auto"/>
              <w:jc w:val="both"/>
              <w:rPr>
                <w:rFonts w:ascii="Verdana Pro" w:eastAsia="Verdana Pro" w:hAnsi="Verdana Pro" w:cs="Verdana Pro"/>
                <w:sz w:val="20"/>
                <w:szCs w:val="20"/>
              </w:rPr>
            </w:pPr>
            <w:r w:rsidRPr="7B61883B">
              <w:rPr>
                <w:rFonts w:ascii="Verdana Pro" w:eastAsia="Verdana Pro" w:hAnsi="Verdana Pro" w:cs="Verdana Pro"/>
                <w:sz w:val="20"/>
                <w:szCs w:val="20"/>
              </w:rPr>
              <w:t xml:space="preserve">Aplicatia de finantare a proiectului a fost depusa spre verificare la Autoritatea de Management </w:t>
            </w:r>
          </w:p>
          <w:p w14:paraId="49F44E4D" w14:textId="77777777" w:rsidR="00166785" w:rsidRPr="003367EA" w:rsidRDefault="00166785" w:rsidP="004C574D">
            <w:pPr>
              <w:pStyle w:val="ListParagraph"/>
              <w:numPr>
                <w:ilvl w:val="0"/>
                <w:numId w:val="41"/>
              </w:numPr>
              <w:spacing w:line="259" w:lineRule="auto"/>
              <w:jc w:val="both"/>
              <w:rPr>
                <w:rFonts w:ascii="Verdana Pro" w:eastAsia="Verdana Pro" w:hAnsi="Verdana Pro" w:cs="Verdana Pro"/>
                <w:sz w:val="20"/>
                <w:szCs w:val="20"/>
              </w:rPr>
            </w:pPr>
            <w:r w:rsidRPr="7B61883B">
              <w:rPr>
                <w:rFonts w:ascii="Verdana Pro" w:eastAsia="Verdana Pro" w:hAnsi="Verdana Pro" w:cs="Verdana Pro"/>
                <w:sz w:val="20"/>
                <w:szCs w:val="20"/>
              </w:rPr>
              <w:t xml:space="preserve">In data de 4 noiembrie 2020 s-a primit GUIDANCE NOTE din partea JASPERS. </w:t>
            </w:r>
          </w:p>
          <w:p w14:paraId="3C6CB983" w14:textId="77777777" w:rsidR="00166785" w:rsidRPr="003367EA" w:rsidRDefault="00166785" w:rsidP="004C574D">
            <w:pPr>
              <w:pStyle w:val="ListParagraph"/>
              <w:numPr>
                <w:ilvl w:val="0"/>
                <w:numId w:val="41"/>
              </w:numPr>
              <w:spacing w:line="259" w:lineRule="auto"/>
              <w:jc w:val="both"/>
              <w:rPr>
                <w:rFonts w:ascii="Verdana Pro" w:eastAsia="Verdana Pro" w:hAnsi="Verdana Pro" w:cs="Verdana Pro"/>
                <w:sz w:val="20"/>
                <w:szCs w:val="20"/>
              </w:rPr>
            </w:pPr>
            <w:r w:rsidRPr="7B61883B">
              <w:rPr>
                <w:rFonts w:ascii="Verdana Pro" w:eastAsia="Verdana Pro" w:hAnsi="Verdana Pro" w:cs="Verdana Pro"/>
                <w:sz w:val="20"/>
                <w:szCs w:val="20"/>
              </w:rPr>
              <w:t>In data de 18 noiembrie 2021 a fost predat SF aferent proiectului, urmand a fi aprobat in CONSILIUL TEHNICO ECONOMIC INTERMINISTERIAL</w:t>
            </w:r>
          </w:p>
          <w:p w14:paraId="3215B2C1" w14:textId="77777777" w:rsidR="00166785" w:rsidRPr="003367EA" w:rsidRDefault="00166785" w:rsidP="004C574D">
            <w:pPr>
              <w:pStyle w:val="ListParagraph"/>
              <w:numPr>
                <w:ilvl w:val="0"/>
                <w:numId w:val="41"/>
              </w:numPr>
              <w:spacing w:line="259" w:lineRule="auto"/>
              <w:jc w:val="both"/>
              <w:rPr>
                <w:rFonts w:ascii="Verdana Pro" w:eastAsia="Verdana Pro" w:hAnsi="Verdana Pro" w:cs="Verdana Pro"/>
                <w:sz w:val="20"/>
                <w:szCs w:val="20"/>
              </w:rPr>
            </w:pPr>
            <w:r w:rsidRPr="7B61883B">
              <w:rPr>
                <w:rFonts w:ascii="Verdana Pro" w:eastAsia="Verdana Pro" w:hAnsi="Verdana Pro" w:cs="Verdana Pro"/>
                <w:sz w:val="20"/>
                <w:szCs w:val="20"/>
              </w:rPr>
              <w:t>Aplicatia de finantare  necesita revizie- dupa predarea SF (decembrie 2021).</w:t>
            </w:r>
          </w:p>
          <w:p w14:paraId="057759A1" w14:textId="77777777" w:rsidR="00166785" w:rsidRPr="003367EA" w:rsidRDefault="00166785" w:rsidP="004C574D">
            <w:pPr>
              <w:pStyle w:val="ListParagraph"/>
              <w:numPr>
                <w:ilvl w:val="0"/>
                <w:numId w:val="41"/>
              </w:numPr>
              <w:spacing w:line="259" w:lineRule="auto"/>
              <w:jc w:val="both"/>
              <w:rPr>
                <w:rFonts w:ascii="Verdana Pro" w:eastAsia="Verdana Pro" w:hAnsi="Verdana Pro" w:cs="Verdana Pro"/>
                <w:sz w:val="20"/>
                <w:szCs w:val="20"/>
              </w:rPr>
            </w:pPr>
            <w:r w:rsidRPr="7B61883B">
              <w:rPr>
                <w:rFonts w:ascii="Verdana Pro" w:eastAsia="Verdana Pro" w:hAnsi="Verdana Pro" w:cs="Verdana Pro"/>
                <w:sz w:val="20"/>
                <w:szCs w:val="20"/>
              </w:rPr>
              <w:t>In data de 06 decembrie 2021 s-a depus documentatiile SEICA si RIM revizuite.</w:t>
            </w:r>
          </w:p>
          <w:p w14:paraId="4EB61BDA" w14:textId="77777777" w:rsidR="00166785" w:rsidRPr="000309A2" w:rsidRDefault="00166785" w:rsidP="004C574D">
            <w:pPr>
              <w:spacing w:line="276" w:lineRule="auto"/>
              <w:ind w:right="72"/>
              <w:jc w:val="both"/>
              <w:rPr>
                <w:rFonts w:ascii="Verdana Pro" w:eastAsia="Verdana Pro" w:hAnsi="Verdana Pro" w:cs="Verdana Pro"/>
                <w:b/>
                <w:sz w:val="20"/>
                <w:szCs w:val="20"/>
              </w:rPr>
            </w:pPr>
            <w:r w:rsidRPr="7B61883B">
              <w:rPr>
                <w:rFonts w:ascii="Verdana Pro" w:eastAsia="Verdana Pro" w:hAnsi="Verdana Pro" w:cs="Verdana Pro"/>
                <w:b/>
                <w:sz w:val="20"/>
                <w:szCs w:val="20"/>
              </w:rPr>
              <w:t xml:space="preserve">Proiect matur </w:t>
            </w:r>
          </w:p>
          <w:p w14:paraId="3B575409" w14:textId="77777777" w:rsidR="00166785" w:rsidRPr="00E85880" w:rsidRDefault="00166785" w:rsidP="004C574D">
            <w:pPr>
              <w:spacing w:line="276" w:lineRule="auto"/>
              <w:ind w:right="72"/>
              <w:rPr>
                <w:rFonts w:ascii="Verdana Pro" w:eastAsia="Verdana Pro" w:hAnsi="Verdana Pro" w:cs="Verdana Pro"/>
                <w:sz w:val="20"/>
                <w:szCs w:val="20"/>
              </w:rPr>
            </w:pPr>
            <w:r w:rsidRPr="7B61883B">
              <w:rPr>
                <w:rFonts w:ascii="Verdana Pro" w:eastAsia="Verdana Pro" w:hAnsi="Verdana Pro" w:cs="Verdana Pro"/>
                <w:sz w:val="20"/>
                <w:szCs w:val="20"/>
              </w:rPr>
              <w:t>In implementare</w:t>
            </w:r>
          </w:p>
        </w:tc>
      </w:tr>
      <w:tr w:rsidR="00166785" w:rsidRPr="00FA073D" w14:paraId="6C914D87" w14:textId="77777777" w:rsidTr="00166785">
        <w:trPr>
          <w:trHeight w:val="1093"/>
        </w:trPr>
        <w:tc>
          <w:tcPr>
            <w:tcW w:w="3420" w:type="dxa"/>
            <w:vAlign w:val="center"/>
            <w:hideMark/>
          </w:tcPr>
          <w:p w14:paraId="46272CF1"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ABA PRUT-BARLAD</w:t>
            </w:r>
          </w:p>
          <w:p w14:paraId="67F3E7C6" w14:textId="77777777" w:rsidR="00166785" w:rsidRPr="00E85880" w:rsidRDefault="00166785" w:rsidP="004C574D">
            <w:pPr>
              <w:spacing w:line="276" w:lineRule="auto"/>
              <w:ind w:left="72" w:right="78"/>
              <w:rPr>
                <w:rFonts w:ascii="Verdana Pro" w:eastAsia="Verdana Pro" w:hAnsi="Verdana Pro" w:cs="Verdana Pro"/>
                <w:b/>
                <w:sz w:val="20"/>
                <w:szCs w:val="20"/>
              </w:rPr>
            </w:pPr>
            <w:r w:rsidRPr="6B271DC3">
              <w:rPr>
                <w:rFonts w:ascii="Verdana Pro" w:eastAsia="Verdana Pro" w:hAnsi="Verdana Pro" w:cs="Verdana Pro"/>
                <w:b/>
                <w:sz w:val="20"/>
                <w:szCs w:val="20"/>
              </w:rPr>
              <w:t xml:space="preserve">Reconectare </w:t>
            </w:r>
            <w:r w:rsidRPr="6B271DC3">
              <w:rPr>
                <w:rFonts w:ascii="Calibri" w:eastAsia="Verdana Pro" w:hAnsi="Calibri" w:cs="Calibri"/>
                <w:b/>
                <w:sz w:val="20"/>
                <w:szCs w:val="20"/>
              </w:rPr>
              <w:t>ș</w:t>
            </w:r>
            <w:r w:rsidRPr="6B271DC3">
              <w:rPr>
                <w:rFonts w:ascii="Verdana Pro" w:eastAsia="Verdana Pro" w:hAnsi="Verdana Pro" w:cs="Verdana Pro"/>
                <w:b/>
                <w:sz w:val="20"/>
                <w:szCs w:val="20"/>
              </w:rPr>
              <w:t>i restaurare lunca inundabil</w:t>
            </w:r>
            <w:r w:rsidRPr="6B271DC3">
              <w:rPr>
                <w:rFonts w:ascii="Calibri" w:eastAsia="Verdana Pro" w:hAnsi="Calibri" w:cs="Calibri"/>
                <w:b/>
                <w:sz w:val="20"/>
                <w:szCs w:val="20"/>
              </w:rPr>
              <w:t>ă</w:t>
            </w:r>
            <w:r w:rsidRPr="6B271DC3">
              <w:rPr>
                <w:rFonts w:ascii="Verdana Pro" w:eastAsia="Verdana Pro" w:hAnsi="Verdana Pro" w:cs="Verdana Pro"/>
                <w:b/>
                <w:sz w:val="20"/>
                <w:szCs w:val="20"/>
              </w:rPr>
              <w:t>, reamenajare curs de ap</w:t>
            </w:r>
            <w:r w:rsidRPr="6B271DC3">
              <w:rPr>
                <w:rFonts w:ascii="Calibri" w:eastAsia="Verdana Pro" w:hAnsi="Calibri" w:cs="Calibri"/>
                <w:b/>
                <w:sz w:val="20"/>
                <w:szCs w:val="20"/>
              </w:rPr>
              <w:t>ă</w:t>
            </w:r>
            <w:r w:rsidRPr="6B271DC3">
              <w:rPr>
                <w:rFonts w:ascii="Verdana Pro" w:eastAsia="Verdana Pro" w:hAnsi="Verdana Pro" w:cs="Verdana Pro"/>
                <w:b/>
                <w:sz w:val="20"/>
                <w:szCs w:val="20"/>
              </w:rPr>
              <w:t xml:space="preserve"> Jijia</w:t>
            </w:r>
          </w:p>
        </w:tc>
        <w:tc>
          <w:tcPr>
            <w:tcW w:w="2070" w:type="dxa"/>
            <w:vAlign w:val="center"/>
          </w:tcPr>
          <w:p w14:paraId="130F890C"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221.410.384</w:t>
            </w:r>
          </w:p>
        </w:tc>
        <w:tc>
          <w:tcPr>
            <w:tcW w:w="9090" w:type="dxa"/>
          </w:tcPr>
          <w:p w14:paraId="56095D56" w14:textId="77777777" w:rsidR="00166785" w:rsidRPr="0036474F" w:rsidRDefault="00166785" w:rsidP="004C574D">
            <w:pPr>
              <w:pStyle w:val="ListParagraph"/>
              <w:numPr>
                <w:ilvl w:val="0"/>
                <w:numId w:val="38"/>
              </w:numPr>
              <w:tabs>
                <w:tab w:val="left" w:pos="720"/>
              </w:tabs>
              <w:spacing w:line="259" w:lineRule="auto"/>
              <w:jc w:val="both"/>
              <w:rPr>
                <w:rFonts w:ascii="Verdana Pro" w:eastAsia="Verdana Pro" w:hAnsi="Verdana Pro" w:cs="Verdana Pro"/>
                <w:sz w:val="20"/>
                <w:szCs w:val="20"/>
              </w:rPr>
            </w:pPr>
            <w:r w:rsidRPr="7B61883B">
              <w:rPr>
                <w:rFonts w:ascii="Verdana Pro" w:eastAsia="Verdana Pro" w:hAnsi="Verdana Pro" w:cs="Verdana Pro"/>
                <w:sz w:val="20"/>
                <w:szCs w:val="20"/>
              </w:rPr>
              <w:t>Aplicatia de finantare a proiectului a fost depusa spre verificare la Autoritatea de Management pe 27 iulie 2021;</w:t>
            </w:r>
          </w:p>
          <w:p w14:paraId="404E8D20" w14:textId="77777777" w:rsidR="00166785" w:rsidRPr="0036474F" w:rsidRDefault="00166785" w:rsidP="004C574D">
            <w:pPr>
              <w:pStyle w:val="ListParagraph"/>
              <w:numPr>
                <w:ilvl w:val="0"/>
                <w:numId w:val="38"/>
              </w:numPr>
              <w:spacing w:line="259" w:lineRule="auto"/>
              <w:rPr>
                <w:rFonts w:ascii="Verdana Pro" w:eastAsia="Verdana Pro" w:hAnsi="Verdana Pro" w:cs="Verdana Pro"/>
                <w:sz w:val="20"/>
                <w:szCs w:val="20"/>
              </w:rPr>
            </w:pPr>
            <w:r w:rsidRPr="7B61883B">
              <w:rPr>
                <w:rFonts w:ascii="Verdana Pro" w:eastAsia="Verdana Pro" w:hAnsi="Verdana Pro" w:cs="Verdana Pro"/>
                <w:sz w:val="20"/>
                <w:szCs w:val="20"/>
              </w:rPr>
              <w:t>In data de 1 octombrie 2021 s-a primit Sreening Note din partea JASPERS. Proiect rejectat.</w:t>
            </w:r>
          </w:p>
          <w:p w14:paraId="2088D925" w14:textId="77777777" w:rsidR="00166785" w:rsidRPr="000309A2" w:rsidRDefault="00166785" w:rsidP="004C574D">
            <w:pPr>
              <w:pStyle w:val="ListParagraph"/>
              <w:numPr>
                <w:ilvl w:val="0"/>
                <w:numId w:val="38"/>
              </w:numPr>
              <w:tabs>
                <w:tab w:val="left" w:pos="720"/>
              </w:tabs>
              <w:spacing w:line="259" w:lineRule="auto"/>
              <w:jc w:val="both"/>
              <w:rPr>
                <w:rFonts w:ascii="Verdana Pro" w:eastAsia="Verdana Pro" w:hAnsi="Verdana Pro" w:cs="Verdana Pro"/>
                <w:sz w:val="20"/>
                <w:szCs w:val="20"/>
              </w:rPr>
            </w:pPr>
            <w:r w:rsidRPr="7B61883B">
              <w:rPr>
                <w:rFonts w:ascii="Verdana Pro" w:eastAsia="Verdana Pro" w:hAnsi="Verdana Pro" w:cs="Verdana Pro"/>
                <w:sz w:val="20"/>
                <w:szCs w:val="20"/>
              </w:rPr>
              <w:t>Procedura de mediu este blocata pana se avizeaza SF-ul.</w:t>
            </w:r>
          </w:p>
          <w:p w14:paraId="3CFF3616" w14:textId="77777777" w:rsidR="00166785" w:rsidRPr="00E85880" w:rsidRDefault="00166785" w:rsidP="004C574D">
            <w:pPr>
              <w:spacing w:line="276" w:lineRule="auto"/>
              <w:ind w:right="72"/>
              <w:rPr>
                <w:rFonts w:ascii="Verdana Pro" w:eastAsia="Verdana Pro" w:hAnsi="Verdana Pro" w:cs="Verdana Pro"/>
                <w:b/>
                <w:sz w:val="20"/>
                <w:szCs w:val="20"/>
              </w:rPr>
            </w:pPr>
            <w:r w:rsidRPr="7B61883B">
              <w:rPr>
                <w:rFonts w:ascii="Verdana Pro" w:eastAsia="Verdana Pro" w:hAnsi="Verdana Pro" w:cs="Verdana Pro"/>
                <w:b/>
                <w:i/>
                <w:sz w:val="20"/>
                <w:szCs w:val="20"/>
              </w:rPr>
              <w:t>Nu s-a depus CF</w:t>
            </w:r>
          </w:p>
          <w:p w14:paraId="25CAB512" w14:textId="77777777" w:rsidR="00166785" w:rsidRPr="00B66E8B" w:rsidRDefault="00166785" w:rsidP="004C574D">
            <w:pPr>
              <w:tabs>
                <w:tab w:val="left" w:pos="720"/>
              </w:tabs>
              <w:spacing w:line="276" w:lineRule="auto"/>
              <w:rPr>
                <w:rFonts w:ascii="Verdana Pro" w:eastAsia="Verdana Pro" w:hAnsi="Verdana Pro" w:cs="Verdana Pro"/>
                <w:b/>
                <w:sz w:val="20"/>
                <w:szCs w:val="20"/>
              </w:rPr>
            </w:pPr>
            <w:r w:rsidRPr="7B61883B">
              <w:rPr>
                <w:rFonts w:ascii="Verdana Pro" w:eastAsia="Verdana Pro" w:hAnsi="Verdana Pro" w:cs="Verdana Pro"/>
                <w:b/>
                <w:sz w:val="20"/>
                <w:szCs w:val="20"/>
              </w:rPr>
              <w:t>Proiect i</w:t>
            </w:r>
            <w:r w:rsidRPr="00B66E8B">
              <w:rPr>
                <w:rFonts w:ascii="Verdana Pro" w:eastAsia="Verdana Pro" w:hAnsi="Verdana Pro" w:cs="Verdana Pro"/>
                <w:b/>
                <w:sz w:val="20"/>
                <w:szCs w:val="20"/>
              </w:rPr>
              <w:t>matur</w:t>
            </w:r>
            <w:r w:rsidRPr="7B61883B">
              <w:rPr>
                <w:rFonts w:ascii="Verdana Pro" w:eastAsia="Verdana Pro" w:hAnsi="Verdana Pro" w:cs="Verdana Pro"/>
                <w:sz w:val="20"/>
                <w:szCs w:val="20"/>
                <w:lang w:val="ro"/>
              </w:rPr>
              <w:t xml:space="preserve"> ; ca urmare, in cadrul PMRI2 dezvoltat in proiectul RO FLOODS se re-analizeaza proiectul,  noi alternative (incl AMC, CBA, analiza mediu etc)</w:t>
            </w:r>
          </w:p>
        </w:tc>
      </w:tr>
      <w:tr w:rsidR="00166785" w:rsidRPr="00FA073D" w14:paraId="67273071" w14:textId="77777777" w:rsidTr="00166785">
        <w:trPr>
          <w:trHeight w:val="1918"/>
        </w:trPr>
        <w:tc>
          <w:tcPr>
            <w:tcW w:w="3420" w:type="dxa"/>
            <w:vAlign w:val="center"/>
          </w:tcPr>
          <w:p w14:paraId="56F6BED0"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lastRenderedPageBreak/>
              <w:t>ABA DOBROGEA LITORAL</w:t>
            </w:r>
          </w:p>
          <w:p w14:paraId="530326E6" w14:textId="77777777" w:rsidR="00166785" w:rsidRPr="00E85880" w:rsidRDefault="00166785" w:rsidP="004C574D">
            <w:pPr>
              <w:spacing w:line="276" w:lineRule="auto"/>
              <w:ind w:right="78"/>
              <w:rPr>
                <w:rFonts w:ascii="Verdana Pro" w:eastAsia="Verdana Pro" w:hAnsi="Verdana Pro" w:cs="Verdana Pro"/>
                <w:b/>
                <w:sz w:val="20"/>
                <w:szCs w:val="20"/>
              </w:rPr>
            </w:pPr>
            <w:r w:rsidRPr="00B66E8B">
              <w:rPr>
                <w:rFonts w:ascii="Verdana Pro" w:eastAsia="Verdana Pro" w:hAnsi="Verdana Pro" w:cs="Verdana Pro"/>
                <w:b/>
                <w:sz w:val="20"/>
                <w:szCs w:val="20"/>
              </w:rPr>
              <w:t>Amenajare complex</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 xml:space="preserve"> a localit</w:t>
            </w:r>
            <w:r w:rsidRPr="00B66E8B">
              <w:rPr>
                <w:rFonts w:ascii="Calibri" w:eastAsia="Verdana Pro" w:hAnsi="Calibri" w:cs="Calibri"/>
                <w:b/>
                <w:sz w:val="20"/>
                <w:szCs w:val="20"/>
              </w:rPr>
              <w:t>ăț</w:t>
            </w:r>
            <w:r w:rsidRPr="00B66E8B">
              <w:rPr>
                <w:rFonts w:ascii="Verdana Pro" w:eastAsia="Verdana Pro" w:hAnsi="Verdana Pro" w:cs="Verdana Pro"/>
                <w:b/>
                <w:sz w:val="20"/>
                <w:szCs w:val="20"/>
              </w:rPr>
              <w:t>ilor situate în Delta Dun</w:t>
            </w:r>
            <w:r w:rsidRPr="00B66E8B">
              <w:rPr>
                <w:rFonts w:ascii="Calibri" w:eastAsia="Verdana Pro" w:hAnsi="Calibri" w:cs="Calibri"/>
                <w:b/>
                <w:sz w:val="20"/>
                <w:szCs w:val="20"/>
              </w:rPr>
              <w:t>ă</w:t>
            </w:r>
            <w:r w:rsidRPr="00B66E8B">
              <w:rPr>
                <w:rFonts w:ascii="Verdana Pro" w:eastAsia="Verdana Pro" w:hAnsi="Verdana Pro" w:cs="Verdana Pro"/>
                <w:b/>
                <w:sz w:val="20"/>
                <w:szCs w:val="20"/>
              </w:rPr>
              <w:t>rii pentru minimizarea riscului inunda</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iilor asupra vie</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ii, jude</w:t>
            </w:r>
            <w:r w:rsidRPr="00B66E8B">
              <w:rPr>
                <w:rFonts w:ascii="Calibri" w:eastAsia="Verdana Pro" w:hAnsi="Calibri" w:cs="Calibri"/>
                <w:b/>
                <w:sz w:val="20"/>
                <w:szCs w:val="20"/>
              </w:rPr>
              <w:t>ț</w:t>
            </w:r>
            <w:r w:rsidRPr="00B66E8B">
              <w:rPr>
                <w:rFonts w:ascii="Verdana Pro" w:eastAsia="Verdana Pro" w:hAnsi="Verdana Pro" w:cs="Verdana Pro"/>
                <w:b/>
                <w:sz w:val="20"/>
                <w:szCs w:val="20"/>
              </w:rPr>
              <w:t>ul Tulcea</w:t>
            </w:r>
          </w:p>
        </w:tc>
        <w:tc>
          <w:tcPr>
            <w:tcW w:w="2070" w:type="dxa"/>
            <w:vAlign w:val="center"/>
          </w:tcPr>
          <w:p w14:paraId="3AF830A1"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56.828.239</w:t>
            </w:r>
          </w:p>
          <w:p w14:paraId="5E6E599E" w14:textId="77777777" w:rsidR="00166785" w:rsidRPr="00E85880" w:rsidRDefault="00166785" w:rsidP="004C574D">
            <w:pPr>
              <w:spacing w:line="276" w:lineRule="auto"/>
              <w:ind w:right="72"/>
              <w:rPr>
                <w:rFonts w:ascii="Verdana Pro" w:eastAsia="Verdana Pro" w:hAnsi="Verdana Pro" w:cs="Verdana Pro"/>
                <w:b/>
                <w:sz w:val="20"/>
                <w:szCs w:val="20"/>
              </w:rPr>
            </w:pPr>
          </w:p>
        </w:tc>
        <w:tc>
          <w:tcPr>
            <w:tcW w:w="9090" w:type="dxa"/>
          </w:tcPr>
          <w:p w14:paraId="4A70E707" w14:textId="77777777" w:rsidR="00166785" w:rsidRPr="00926390" w:rsidRDefault="00166785" w:rsidP="004C574D">
            <w:pPr>
              <w:pStyle w:val="ListParagraph"/>
              <w:numPr>
                <w:ilvl w:val="0"/>
                <w:numId w:val="38"/>
              </w:numPr>
              <w:tabs>
                <w:tab w:val="left" w:pos="720"/>
              </w:tabs>
              <w:spacing w:line="259" w:lineRule="auto"/>
              <w:jc w:val="both"/>
              <w:rPr>
                <w:rFonts w:ascii="Verdana Pro" w:eastAsia="Verdana Pro" w:hAnsi="Verdana Pro" w:cs="Verdana Pro"/>
                <w:sz w:val="20"/>
                <w:szCs w:val="20"/>
              </w:rPr>
            </w:pPr>
            <w:r w:rsidRPr="7B61883B">
              <w:rPr>
                <w:rFonts w:ascii="Verdana Pro" w:eastAsia="Verdana Pro" w:hAnsi="Verdana Pro" w:cs="Verdana Pro"/>
                <w:sz w:val="20"/>
                <w:szCs w:val="20"/>
              </w:rPr>
              <w:t>Proiectul a trecut in mai multe randuri prin evaluarea Jaspers si AM POIM;</w:t>
            </w:r>
          </w:p>
          <w:p w14:paraId="685BCF35" w14:textId="77777777" w:rsidR="00166785" w:rsidRPr="00926390" w:rsidRDefault="00166785" w:rsidP="004C574D">
            <w:pPr>
              <w:pStyle w:val="ListParagraph"/>
              <w:numPr>
                <w:ilvl w:val="0"/>
                <w:numId w:val="38"/>
              </w:numPr>
              <w:tabs>
                <w:tab w:val="left" w:pos="720"/>
              </w:tabs>
              <w:spacing w:line="259" w:lineRule="auto"/>
              <w:jc w:val="both"/>
              <w:rPr>
                <w:rFonts w:ascii="Verdana Pro" w:eastAsia="Verdana Pro" w:hAnsi="Verdana Pro" w:cs="Verdana Pro"/>
                <w:sz w:val="20"/>
                <w:szCs w:val="20"/>
              </w:rPr>
            </w:pPr>
            <w:r w:rsidRPr="7B61883B">
              <w:rPr>
                <w:rFonts w:ascii="Verdana Pro" w:eastAsia="Verdana Pro" w:hAnsi="Verdana Pro" w:cs="Verdana Pro"/>
                <w:sz w:val="20"/>
                <w:szCs w:val="20"/>
              </w:rPr>
              <w:t xml:space="preserve">Aplicatia de finantare a proiectului a fost depusa spre verificare la Autoritatea de Management. Jaspers a emis Nota de finalizare pozitiva (Action Completion Note) in forma draft in luna Iunie 2021, fara „elemente nesolutionate”. Concluzia ACN este „Documentatia proiectului poate fi considerata fnalizata. Se poate aprecia ca proiectul propus a fost pregatit in mod adecvat atat din punct de vedere tehnic cat si din perspectiva Analizei Cost-Beneficiu.... JASPERS apreciaza ca proiectul este adecvat pentru aprobarea finantarii si implementare”. </w:t>
            </w:r>
          </w:p>
          <w:p w14:paraId="25291207" w14:textId="77777777" w:rsidR="00166785" w:rsidRPr="00926390" w:rsidRDefault="00166785" w:rsidP="004C574D">
            <w:pPr>
              <w:pStyle w:val="ListParagraph"/>
              <w:numPr>
                <w:ilvl w:val="0"/>
                <w:numId w:val="38"/>
              </w:numPr>
              <w:tabs>
                <w:tab w:val="left" w:pos="720"/>
              </w:tabs>
              <w:spacing w:line="259" w:lineRule="auto"/>
              <w:jc w:val="both"/>
              <w:rPr>
                <w:rFonts w:ascii="Verdana Pro" w:eastAsia="Verdana Pro" w:hAnsi="Verdana Pro" w:cs="Verdana Pro"/>
                <w:sz w:val="20"/>
                <w:szCs w:val="20"/>
              </w:rPr>
            </w:pPr>
            <w:r w:rsidRPr="7B61883B">
              <w:rPr>
                <w:rFonts w:ascii="Verdana Pro" w:eastAsia="Verdana Pro" w:hAnsi="Verdana Pro" w:cs="Verdana Pro"/>
                <w:sz w:val="20"/>
                <w:szCs w:val="20"/>
              </w:rPr>
              <w:t>Proiectul in forma acceptata de catre Jaspers/ AM POIM are obtinute toate avizele si a fost aprobat in comisiile tehnico-economice ABA, ANAR, MMAP si Consiliu Interministerial (Octombrie 2021), urmand a fi emisa Hotararea de Guvern pentru aprobarea indicatorilor proiectului (est. Dec 2021);</w:t>
            </w:r>
          </w:p>
          <w:p w14:paraId="33A54DFE" w14:textId="77777777" w:rsidR="00166785" w:rsidRPr="00926390" w:rsidRDefault="00166785" w:rsidP="004C574D">
            <w:pPr>
              <w:pStyle w:val="ListParagraph"/>
              <w:numPr>
                <w:ilvl w:val="0"/>
                <w:numId w:val="38"/>
              </w:numPr>
              <w:tabs>
                <w:tab w:val="left" w:pos="720"/>
              </w:tabs>
              <w:spacing w:line="259" w:lineRule="auto"/>
              <w:jc w:val="both"/>
              <w:rPr>
                <w:rFonts w:ascii="Verdana Pro" w:eastAsia="Verdana Pro" w:hAnsi="Verdana Pro" w:cs="Verdana Pro"/>
                <w:sz w:val="20"/>
                <w:szCs w:val="20"/>
              </w:rPr>
            </w:pPr>
            <w:r w:rsidRPr="7B61883B">
              <w:rPr>
                <w:rFonts w:ascii="Verdana Pro" w:eastAsia="Verdana Pro" w:hAnsi="Verdana Pro" w:cs="Verdana Pro"/>
                <w:sz w:val="20"/>
                <w:szCs w:val="20"/>
              </w:rPr>
              <w:t>Procedura de mediu a fost finalizata prin emiterea Deciziei etapei de incadrare nr. 11/ 22.05.2021 revizuita la 21.09.2021.</w:t>
            </w:r>
          </w:p>
          <w:p w14:paraId="67ADCCA2" w14:textId="77777777" w:rsidR="00166785" w:rsidRDefault="00166785" w:rsidP="004C574D">
            <w:pPr>
              <w:spacing w:line="276" w:lineRule="auto"/>
              <w:ind w:right="72"/>
              <w:jc w:val="both"/>
              <w:rPr>
                <w:rFonts w:ascii="Verdana Pro" w:eastAsia="Verdana Pro" w:hAnsi="Verdana Pro" w:cs="Verdana Pro"/>
                <w:b/>
                <w:sz w:val="20"/>
                <w:szCs w:val="20"/>
              </w:rPr>
            </w:pPr>
            <w:r w:rsidRPr="7B61883B">
              <w:rPr>
                <w:rFonts w:ascii="Verdana Pro" w:eastAsia="Verdana Pro" w:hAnsi="Verdana Pro" w:cs="Verdana Pro"/>
                <w:b/>
                <w:sz w:val="20"/>
                <w:szCs w:val="20"/>
              </w:rPr>
              <w:t xml:space="preserve">Proiect matur </w:t>
            </w:r>
          </w:p>
          <w:p w14:paraId="11904802" w14:textId="77777777" w:rsidR="00166785" w:rsidRPr="00E85880" w:rsidRDefault="00166785" w:rsidP="004C574D">
            <w:pPr>
              <w:spacing w:line="276" w:lineRule="auto"/>
              <w:ind w:right="72"/>
              <w:rPr>
                <w:rFonts w:ascii="Verdana Pro" w:eastAsia="Verdana Pro" w:hAnsi="Verdana Pro" w:cs="Verdana Pro"/>
                <w:sz w:val="20"/>
                <w:szCs w:val="20"/>
              </w:rPr>
            </w:pPr>
            <w:r w:rsidRPr="7B61883B">
              <w:rPr>
                <w:rFonts w:ascii="Verdana Pro" w:eastAsia="Verdana Pro" w:hAnsi="Verdana Pro" w:cs="Verdana Pro"/>
                <w:sz w:val="20"/>
                <w:szCs w:val="20"/>
              </w:rPr>
              <w:t>In evaluare finala la AM POIM</w:t>
            </w:r>
          </w:p>
        </w:tc>
      </w:tr>
      <w:tr w:rsidR="00166785" w:rsidRPr="00FA073D" w14:paraId="08D3941D" w14:textId="77777777" w:rsidTr="00166785">
        <w:trPr>
          <w:trHeight w:val="823"/>
        </w:trPr>
        <w:tc>
          <w:tcPr>
            <w:tcW w:w="3420" w:type="dxa"/>
            <w:vAlign w:val="center"/>
            <w:hideMark/>
          </w:tcPr>
          <w:p w14:paraId="657A5656" w14:textId="77777777" w:rsidR="00166785" w:rsidRPr="00B66E8B" w:rsidRDefault="00166785" w:rsidP="004C574D">
            <w:pPr>
              <w:spacing w:line="276" w:lineRule="auto"/>
              <w:ind w:left="72" w:right="78"/>
              <w:rPr>
                <w:rFonts w:ascii="Verdana Pro" w:eastAsia="Verdana Pro" w:hAnsi="Verdana Pro" w:cs="Verdana Pro"/>
                <w:b/>
                <w:sz w:val="20"/>
                <w:szCs w:val="20"/>
              </w:rPr>
            </w:pPr>
            <w:r w:rsidRPr="00B66E8B">
              <w:rPr>
                <w:rFonts w:ascii="Verdana Pro" w:eastAsia="Verdana Pro" w:hAnsi="Verdana Pro" w:cs="Verdana Pro"/>
                <w:b/>
                <w:sz w:val="20"/>
                <w:szCs w:val="20"/>
              </w:rPr>
              <w:t>ABA DOBROGEA LITORAL</w:t>
            </w:r>
          </w:p>
          <w:p w14:paraId="214F01AD" w14:textId="77777777" w:rsidR="00166785" w:rsidRPr="00E85880" w:rsidRDefault="00166785" w:rsidP="004C574D">
            <w:pPr>
              <w:spacing w:line="276" w:lineRule="auto"/>
              <w:ind w:right="78"/>
              <w:rPr>
                <w:rFonts w:ascii="Verdana Pro" w:eastAsia="Verdana Pro" w:hAnsi="Verdana Pro" w:cs="Verdana Pro"/>
                <w:b/>
                <w:sz w:val="20"/>
                <w:szCs w:val="20"/>
              </w:rPr>
            </w:pPr>
            <w:r w:rsidRPr="6B271DC3">
              <w:rPr>
                <w:rFonts w:ascii="Verdana Pro" w:eastAsia="Verdana Pro" w:hAnsi="Verdana Pro" w:cs="Verdana Pro"/>
                <w:b/>
                <w:sz w:val="20"/>
                <w:szCs w:val="20"/>
              </w:rPr>
              <w:t>Reducerea eroziunii costiere, faza II 2014-2020</w:t>
            </w:r>
          </w:p>
        </w:tc>
        <w:tc>
          <w:tcPr>
            <w:tcW w:w="2070" w:type="dxa"/>
            <w:vAlign w:val="center"/>
          </w:tcPr>
          <w:p w14:paraId="6F001AEB"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3.805.641.720</w:t>
            </w:r>
          </w:p>
        </w:tc>
        <w:tc>
          <w:tcPr>
            <w:tcW w:w="9090" w:type="dxa"/>
          </w:tcPr>
          <w:p w14:paraId="721597BD" w14:textId="77777777" w:rsidR="00166785" w:rsidRPr="00AC111B" w:rsidRDefault="00166785" w:rsidP="004C574D">
            <w:pPr>
              <w:spacing w:line="276" w:lineRule="auto"/>
              <w:ind w:right="72"/>
              <w:jc w:val="both"/>
              <w:rPr>
                <w:rFonts w:ascii="Verdana Pro" w:eastAsia="Verdana Pro" w:hAnsi="Verdana Pro" w:cs="Verdana Pro"/>
                <w:sz w:val="20"/>
                <w:szCs w:val="20"/>
              </w:rPr>
            </w:pPr>
            <w:r w:rsidRPr="7B61883B">
              <w:rPr>
                <w:rFonts w:ascii="Verdana Pro" w:eastAsia="Verdana Pro" w:hAnsi="Verdana Pro" w:cs="Verdana Pro"/>
                <w:sz w:val="20"/>
                <w:szCs w:val="20"/>
              </w:rPr>
              <w:t>Aceasta investitie este structurata in doua etape dupa cum urmeaza:</w:t>
            </w:r>
          </w:p>
          <w:p w14:paraId="416B1CEE" w14:textId="77777777" w:rsidR="00166785" w:rsidRPr="00AC111B" w:rsidRDefault="00166785" w:rsidP="004C574D">
            <w:pPr>
              <w:pStyle w:val="ListParagraph"/>
              <w:numPr>
                <w:ilvl w:val="0"/>
                <w:numId w:val="46"/>
              </w:numPr>
              <w:spacing w:line="276" w:lineRule="auto"/>
              <w:ind w:right="72"/>
              <w:jc w:val="both"/>
              <w:rPr>
                <w:rFonts w:ascii="Verdana Pro" w:eastAsia="Verdana Pro" w:hAnsi="Verdana Pro" w:cs="Verdana Pro"/>
                <w:sz w:val="20"/>
                <w:szCs w:val="20"/>
              </w:rPr>
            </w:pPr>
            <w:r w:rsidRPr="00AC111B">
              <w:rPr>
                <w:rFonts w:ascii="Verdana Pro" w:eastAsia="Verdana Pro" w:hAnsi="Verdana Pro" w:cs="Verdana Pro"/>
                <w:sz w:val="20"/>
                <w:szCs w:val="20"/>
              </w:rPr>
              <w:t>Etapa I - Stavilare (Edighiol si Periboina), Mamaia,Tomis (Cazino), Agigea + consolidarea faleza, Eforie</w:t>
            </w:r>
          </w:p>
          <w:p w14:paraId="4541A642" w14:textId="77777777" w:rsidR="00166785" w:rsidRPr="00AC111B" w:rsidRDefault="00166785" w:rsidP="004C574D">
            <w:pPr>
              <w:pStyle w:val="ListParagraph"/>
              <w:numPr>
                <w:ilvl w:val="0"/>
                <w:numId w:val="46"/>
              </w:numPr>
              <w:spacing w:line="276" w:lineRule="auto"/>
              <w:ind w:right="72"/>
              <w:jc w:val="both"/>
              <w:rPr>
                <w:rFonts w:ascii="Verdana Pro" w:eastAsia="Verdana Pro" w:hAnsi="Verdana Pro" w:cs="Verdana Pro"/>
                <w:sz w:val="20"/>
                <w:szCs w:val="20"/>
              </w:rPr>
            </w:pPr>
            <w:r w:rsidRPr="00AC111B">
              <w:rPr>
                <w:rFonts w:ascii="Verdana Pro" w:eastAsia="Verdana Pro" w:hAnsi="Verdana Pro" w:cs="Verdana Pro"/>
                <w:sz w:val="20"/>
                <w:szCs w:val="20"/>
              </w:rPr>
              <w:t>Etapa II – Costinesti, Olimp, Jupiter-Neptun, Balta Mangalia -Venus-Aurora, Mangalia-Saturn, 2 Mai + consolidarea faleza</w:t>
            </w:r>
          </w:p>
          <w:p w14:paraId="02941CFA" w14:textId="77777777" w:rsidR="00166785" w:rsidRPr="00AC111B" w:rsidRDefault="00166785" w:rsidP="004C574D">
            <w:pPr>
              <w:spacing w:line="276" w:lineRule="auto"/>
              <w:ind w:right="72"/>
              <w:jc w:val="both"/>
              <w:rPr>
                <w:rFonts w:ascii="Verdana Pro" w:eastAsia="Verdana Pro" w:hAnsi="Verdana Pro" w:cs="Verdana Pro"/>
                <w:sz w:val="20"/>
                <w:szCs w:val="20"/>
              </w:rPr>
            </w:pPr>
            <w:r w:rsidRPr="7B61883B">
              <w:rPr>
                <w:rFonts w:ascii="Verdana Pro" w:eastAsia="Verdana Pro" w:hAnsi="Verdana Pro" w:cs="Verdana Pro"/>
                <w:sz w:val="20"/>
                <w:szCs w:val="20"/>
              </w:rPr>
              <w:t>Acest proiect este preconizat a se finaliza in decembrie 2023.</w:t>
            </w:r>
          </w:p>
          <w:p w14:paraId="072864FC" w14:textId="77777777" w:rsidR="00166785" w:rsidRDefault="00166785" w:rsidP="004C574D">
            <w:pPr>
              <w:spacing w:line="276" w:lineRule="auto"/>
              <w:ind w:right="72"/>
              <w:jc w:val="both"/>
              <w:rPr>
                <w:rFonts w:ascii="Verdana Pro" w:eastAsia="Verdana Pro" w:hAnsi="Verdana Pro" w:cs="Verdana Pro"/>
                <w:b/>
                <w:sz w:val="20"/>
                <w:szCs w:val="20"/>
              </w:rPr>
            </w:pPr>
            <w:r w:rsidRPr="7B61883B">
              <w:rPr>
                <w:rFonts w:ascii="Verdana Pro" w:eastAsia="Verdana Pro" w:hAnsi="Verdana Pro" w:cs="Verdana Pro"/>
                <w:b/>
                <w:sz w:val="20"/>
                <w:szCs w:val="20"/>
              </w:rPr>
              <w:t xml:space="preserve">Proiect matur </w:t>
            </w:r>
          </w:p>
          <w:p w14:paraId="33B6D9F0" w14:textId="77777777" w:rsidR="00166785" w:rsidRPr="00E85880" w:rsidRDefault="00166785" w:rsidP="004C574D">
            <w:pPr>
              <w:spacing w:line="276" w:lineRule="auto"/>
              <w:ind w:right="72"/>
              <w:rPr>
                <w:rFonts w:ascii="Verdana Pro" w:eastAsia="Verdana Pro" w:hAnsi="Verdana Pro" w:cs="Verdana Pro"/>
                <w:sz w:val="20"/>
                <w:szCs w:val="20"/>
              </w:rPr>
            </w:pPr>
            <w:r w:rsidRPr="7B61883B">
              <w:rPr>
                <w:rFonts w:ascii="Verdana Pro" w:eastAsia="Verdana Pro" w:hAnsi="Verdana Pro" w:cs="Verdana Pro"/>
                <w:sz w:val="20"/>
                <w:szCs w:val="20"/>
              </w:rPr>
              <w:t>In implementare</w:t>
            </w:r>
          </w:p>
        </w:tc>
      </w:tr>
      <w:tr w:rsidR="00166785" w:rsidRPr="009C3DE3" w14:paraId="65213FC3" w14:textId="77777777" w:rsidTr="00166785">
        <w:trPr>
          <w:trHeight w:val="823"/>
        </w:trPr>
        <w:tc>
          <w:tcPr>
            <w:tcW w:w="3420" w:type="dxa"/>
            <w:vAlign w:val="center"/>
          </w:tcPr>
          <w:p w14:paraId="37E5CF26" w14:textId="77777777" w:rsidR="00166785" w:rsidRPr="00E85880" w:rsidRDefault="00166785" w:rsidP="004C574D">
            <w:pPr>
              <w:spacing w:line="276" w:lineRule="auto"/>
              <w:ind w:left="72" w:right="78"/>
              <w:rPr>
                <w:rFonts w:ascii="Verdana Pro" w:eastAsia="Verdana Pro" w:hAnsi="Verdana Pro" w:cs="Verdana Pro"/>
                <w:b/>
                <w:sz w:val="20"/>
                <w:szCs w:val="20"/>
              </w:rPr>
            </w:pPr>
            <w:r w:rsidRPr="6B271DC3">
              <w:rPr>
                <w:rFonts w:ascii="Verdana Pro" w:eastAsia="Verdana Pro" w:hAnsi="Verdana Pro" w:cs="Verdana Pro"/>
                <w:b/>
                <w:sz w:val="20"/>
                <w:szCs w:val="20"/>
              </w:rPr>
              <w:t>ABA DOBROGEA LITORAL</w:t>
            </w:r>
          </w:p>
          <w:p w14:paraId="0648C641" w14:textId="77777777" w:rsidR="00166785" w:rsidRPr="00E85880" w:rsidRDefault="00166785" w:rsidP="004C574D">
            <w:pPr>
              <w:spacing w:line="276" w:lineRule="auto"/>
              <w:ind w:left="72" w:right="78"/>
              <w:rPr>
                <w:rFonts w:ascii="Verdana Pro" w:eastAsia="Verdana Pro" w:hAnsi="Verdana Pro" w:cs="Verdana Pro"/>
                <w:b/>
                <w:sz w:val="20"/>
                <w:szCs w:val="20"/>
              </w:rPr>
            </w:pPr>
            <w:r w:rsidRPr="6B271DC3">
              <w:rPr>
                <w:rFonts w:ascii="Verdana Pro" w:eastAsia="Verdana Pro" w:hAnsi="Verdana Pro" w:cs="Verdana Pro"/>
                <w:b/>
                <w:sz w:val="20"/>
                <w:szCs w:val="20"/>
              </w:rPr>
              <w:t>Aparare impotriva inundatiilor a localitatii Babadag, judetul Tulcea</w:t>
            </w:r>
          </w:p>
        </w:tc>
        <w:tc>
          <w:tcPr>
            <w:tcW w:w="2070" w:type="dxa"/>
            <w:vAlign w:val="center"/>
          </w:tcPr>
          <w:p w14:paraId="30EA5486" w14:textId="77777777" w:rsidR="00166785" w:rsidRPr="00E85880" w:rsidRDefault="00166785" w:rsidP="004C574D">
            <w:pPr>
              <w:spacing w:line="276" w:lineRule="auto"/>
              <w:ind w:right="72"/>
              <w:rPr>
                <w:rFonts w:ascii="Verdana Pro" w:eastAsia="Verdana Pro" w:hAnsi="Verdana Pro" w:cs="Verdana Pro"/>
                <w:b/>
                <w:sz w:val="20"/>
                <w:szCs w:val="20"/>
              </w:rPr>
            </w:pPr>
            <w:r w:rsidRPr="6B271DC3">
              <w:rPr>
                <w:rFonts w:ascii="Verdana Pro" w:eastAsia="Verdana Pro" w:hAnsi="Verdana Pro" w:cs="Verdana Pro"/>
                <w:b/>
                <w:sz w:val="20"/>
                <w:szCs w:val="20"/>
              </w:rPr>
              <w:t>82.552.635,4</w:t>
            </w:r>
          </w:p>
        </w:tc>
        <w:tc>
          <w:tcPr>
            <w:tcW w:w="9090" w:type="dxa"/>
          </w:tcPr>
          <w:p w14:paraId="28B97944" w14:textId="77777777" w:rsidR="00166785" w:rsidRPr="00566000" w:rsidRDefault="00166785" w:rsidP="004C574D">
            <w:pPr>
              <w:numPr>
                <w:ilvl w:val="0"/>
                <w:numId w:val="29"/>
              </w:numPr>
              <w:tabs>
                <w:tab w:val="left" w:pos="720"/>
              </w:tabs>
              <w:spacing w:line="240" w:lineRule="auto"/>
              <w:contextualSpacing/>
              <w:jc w:val="both"/>
              <w:rPr>
                <w:rFonts w:ascii="Verdana Pro" w:eastAsia="Verdana Pro" w:hAnsi="Verdana Pro" w:cs="Verdana Pro"/>
                <w:sz w:val="20"/>
                <w:szCs w:val="20"/>
              </w:rPr>
            </w:pPr>
            <w:r w:rsidRPr="00566000">
              <w:rPr>
                <w:rFonts w:ascii="Verdana Pro" w:eastAsia="Verdana Pro" w:hAnsi="Verdana Pro" w:cs="Verdana Pro"/>
                <w:sz w:val="20"/>
                <w:szCs w:val="20"/>
              </w:rPr>
              <w:t>Proiectul a trecut in mai multe randuri prin evaluarea Jaspers si AM POIM;</w:t>
            </w:r>
          </w:p>
          <w:p w14:paraId="6E6DDE59" w14:textId="77777777" w:rsidR="00166785" w:rsidRPr="00566000" w:rsidRDefault="00166785" w:rsidP="004C574D">
            <w:pPr>
              <w:numPr>
                <w:ilvl w:val="0"/>
                <w:numId w:val="29"/>
              </w:numPr>
              <w:tabs>
                <w:tab w:val="left" w:pos="720"/>
              </w:tabs>
              <w:spacing w:line="240" w:lineRule="auto"/>
              <w:contextualSpacing/>
              <w:jc w:val="both"/>
              <w:rPr>
                <w:rFonts w:ascii="Verdana Pro" w:eastAsia="Verdana Pro" w:hAnsi="Verdana Pro" w:cs="Verdana Pro"/>
                <w:sz w:val="20"/>
                <w:szCs w:val="20"/>
              </w:rPr>
            </w:pPr>
            <w:r w:rsidRPr="00566000">
              <w:rPr>
                <w:rFonts w:ascii="Verdana Pro" w:eastAsia="Verdana Pro" w:hAnsi="Verdana Pro" w:cs="Verdana Pro"/>
                <w:sz w:val="20"/>
                <w:szCs w:val="20"/>
              </w:rPr>
              <w:t xml:space="preserve">Aplicatia de finantare a proiectului a fost avizata de Autoritatea de Management. </w:t>
            </w:r>
          </w:p>
          <w:p w14:paraId="07F7E277" w14:textId="77777777" w:rsidR="00166785" w:rsidRPr="00566000" w:rsidRDefault="00166785" w:rsidP="004C574D">
            <w:pPr>
              <w:numPr>
                <w:ilvl w:val="0"/>
                <w:numId w:val="29"/>
              </w:numPr>
              <w:tabs>
                <w:tab w:val="left" w:pos="720"/>
              </w:tabs>
              <w:spacing w:line="240" w:lineRule="auto"/>
              <w:contextualSpacing/>
              <w:jc w:val="both"/>
              <w:rPr>
                <w:rFonts w:ascii="Verdana Pro" w:eastAsia="Verdana Pro" w:hAnsi="Verdana Pro" w:cs="Verdana Pro"/>
                <w:sz w:val="20"/>
                <w:szCs w:val="20"/>
              </w:rPr>
            </w:pPr>
            <w:r w:rsidRPr="00566000">
              <w:rPr>
                <w:rFonts w:ascii="Verdana Pro" w:eastAsia="Verdana Pro" w:hAnsi="Verdana Pro" w:cs="Verdana Pro"/>
                <w:sz w:val="20"/>
                <w:szCs w:val="20"/>
              </w:rPr>
              <w:t xml:space="preserve">Proiectul  are obtinute toate avizele si acordurile stipulate in Certificatul de urbanism; este aprobat in toate comisiile tehnico-economice ABA, ANAR, MMAP si Consiliu Interministerial </w:t>
            </w:r>
          </w:p>
          <w:p w14:paraId="4BB79285" w14:textId="77777777" w:rsidR="00166785" w:rsidRPr="00566000" w:rsidRDefault="00166785" w:rsidP="004C574D">
            <w:pPr>
              <w:numPr>
                <w:ilvl w:val="0"/>
                <w:numId w:val="29"/>
              </w:numPr>
              <w:tabs>
                <w:tab w:val="left" w:pos="720"/>
              </w:tabs>
              <w:spacing w:line="240" w:lineRule="auto"/>
              <w:contextualSpacing/>
              <w:jc w:val="both"/>
              <w:rPr>
                <w:rFonts w:ascii="Verdana Pro" w:eastAsia="Verdana Pro" w:hAnsi="Verdana Pro" w:cs="Verdana Pro"/>
                <w:sz w:val="20"/>
                <w:szCs w:val="20"/>
              </w:rPr>
            </w:pPr>
            <w:r w:rsidRPr="00566000">
              <w:rPr>
                <w:rFonts w:ascii="Verdana Pro" w:eastAsia="Verdana Pro" w:hAnsi="Verdana Pro" w:cs="Verdana Pro"/>
                <w:sz w:val="20"/>
                <w:szCs w:val="20"/>
              </w:rPr>
              <w:t>Este emisa Hotararea de Guvern pentru aprobarea indicatorilor proiectului – HG nr. 698/19.08.2020;</w:t>
            </w:r>
          </w:p>
          <w:p w14:paraId="5C7CE75C" w14:textId="77777777" w:rsidR="00166785" w:rsidRPr="00566000" w:rsidRDefault="00166785" w:rsidP="004C574D">
            <w:pPr>
              <w:numPr>
                <w:ilvl w:val="0"/>
                <w:numId w:val="29"/>
              </w:numPr>
              <w:tabs>
                <w:tab w:val="left" w:pos="720"/>
              </w:tabs>
              <w:spacing w:line="240" w:lineRule="auto"/>
              <w:contextualSpacing/>
              <w:jc w:val="both"/>
              <w:rPr>
                <w:rFonts w:ascii="Verdana Pro" w:eastAsia="Verdana Pro" w:hAnsi="Verdana Pro" w:cs="Verdana Pro"/>
                <w:sz w:val="20"/>
                <w:szCs w:val="20"/>
              </w:rPr>
            </w:pPr>
            <w:r w:rsidRPr="00566000">
              <w:rPr>
                <w:rFonts w:ascii="Verdana Pro" w:eastAsia="Verdana Pro" w:hAnsi="Verdana Pro" w:cs="Verdana Pro"/>
                <w:sz w:val="20"/>
                <w:szCs w:val="20"/>
              </w:rPr>
              <w:t>Este emisa Hotararea nr. 699/2018 privind aprobarea amplasamentului si declansarea procedurilor de expropriere a tuturor imobilelor proprietate privata care constituie coridorul de expropriere ;</w:t>
            </w:r>
          </w:p>
          <w:p w14:paraId="3EC4959B" w14:textId="77777777" w:rsidR="00166785" w:rsidRPr="00566000" w:rsidRDefault="00166785" w:rsidP="004C574D">
            <w:pPr>
              <w:numPr>
                <w:ilvl w:val="0"/>
                <w:numId w:val="29"/>
              </w:numPr>
              <w:tabs>
                <w:tab w:val="left" w:pos="720"/>
              </w:tabs>
              <w:spacing w:line="240" w:lineRule="auto"/>
              <w:contextualSpacing/>
              <w:jc w:val="both"/>
              <w:rPr>
                <w:rFonts w:ascii="Verdana Pro" w:eastAsia="Verdana Pro" w:hAnsi="Verdana Pro" w:cs="Verdana Pro"/>
                <w:sz w:val="20"/>
                <w:szCs w:val="20"/>
              </w:rPr>
            </w:pPr>
            <w:r w:rsidRPr="00566000">
              <w:rPr>
                <w:rFonts w:ascii="Verdana Pro" w:eastAsia="Verdana Pro" w:hAnsi="Verdana Pro" w:cs="Verdana Pro"/>
                <w:sz w:val="20"/>
                <w:szCs w:val="20"/>
              </w:rPr>
              <w:lastRenderedPageBreak/>
              <w:t>Procedura de mediu a fost finalizata prin emiterea Deciziei etapei de incadrare nr.   1952/21.07.2015 revizuita in data de 02.12.2020. emisa de APM Tulcea</w:t>
            </w:r>
            <w:r w:rsidRPr="7B61883B">
              <w:rPr>
                <w:rFonts w:ascii="Verdana Pro" w:eastAsia="Verdana Pro" w:hAnsi="Verdana Pro" w:cs="Verdana Pro"/>
                <w:sz w:val="20"/>
                <w:szCs w:val="20"/>
              </w:rPr>
              <w:t>.</w:t>
            </w:r>
          </w:p>
          <w:p w14:paraId="16AC2557" w14:textId="77777777" w:rsidR="00166785" w:rsidRPr="00E85880" w:rsidRDefault="00166785" w:rsidP="004C574D">
            <w:pPr>
              <w:spacing w:line="276" w:lineRule="auto"/>
              <w:ind w:right="72"/>
              <w:rPr>
                <w:rFonts w:ascii="Verdana Pro" w:eastAsia="Verdana Pro" w:hAnsi="Verdana Pro" w:cs="Verdana Pro"/>
                <w:sz w:val="20"/>
                <w:szCs w:val="20"/>
              </w:rPr>
            </w:pPr>
            <w:r w:rsidRPr="7B61883B">
              <w:rPr>
                <w:rFonts w:ascii="Verdana Pro" w:eastAsia="Verdana Pro" w:hAnsi="Verdana Pro" w:cs="Verdana Pro"/>
                <w:sz w:val="20"/>
                <w:szCs w:val="20"/>
              </w:rPr>
              <w:t>In implementare</w:t>
            </w:r>
          </w:p>
        </w:tc>
      </w:tr>
      <w:tr w:rsidR="00166785" w:rsidRPr="009C3DE3" w14:paraId="258BBCE6" w14:textId="77777777" w:rsidTr="00166785">
        <w:trPr>
          <w:trHeight w:val="823"/>
        </w:trPr>
        <w:tc>
          <w:tcPr>
            <w:tcW w:w="3420" w:type="dxa"/>
            <w:vAlign w:val="center"/>
          </w:tcPr>
          <w:p w14:paraId="47980EC8" w14:textId="77777777" w:rsidR="00166785" w:rsidRPr="00E85880" w:rsidRDefault="00166785" w:rsidP="004C574D">
            <w:pPr>
              <w:spacing w:line="276" w:lineRule="auto"/>
              <w:ind w:left="72" w:right="78"/>
              <w:rPr>
                <w:rFonts w:ascii="Verdana Pro" w:eastAsia="Verdana Pro" w:hAnsi="Verdana Pro" w:cs="Verdana Pro"/>
                <w:b/>
                <w:sz w:val="20"/>
                <w:szCs w:val="20"/>
              </w:rPr>
            </w:pPr>
            <w:r w:rsidRPr="6B271DC3">
              <w:rPr>
                <w:rFonts w:ascii="Verdana Pro" w:eastAsia="Verdana Pro" w:hAnsi="Verdana Pro" w:cs="Verdana Pro"/>
                <w:b/>
                <w:sz w:val="20"/>
                <w:szCs w:val="20"/>
              </w:rPr>
              <w:lastRenderedPageBreak/>
              <w:t>TOTAL</w:t>
            </w:r>
          </w:p>
        </w:tc>
        <w:tc>
          <w:tcPr>
            <w:tcW w:w="2070" w:type="dxa"/>
            <w:vAlign w:val="center"/>
          </w:tcPr>
          <w:p w14:paraId="2F7BDA8F" w14:textId="52DC9641" w:rsidR="00166785" w:rsidRPr="005C6FCC" w:rsidRDefault="00166785" w:rsidP="004C574D">
            <w:pPr>
              <w:spacing w:line="240" w:lineRule="auto"/>
              <w:rPr>
                <w:rFonts w:ascii="Verdana Pro" w:eastAsia="Verdana Pro" w:hAnsi="Verdana Pro" w:cs="Verdana Pro"/>
                <w:b/>
                <w:sz w:val="20"/>
                <w:szCs w:val="20"/>
              </w:rPr>
            </w:pPr>
            <w:r w:rsidRPr="005C6FCC">
              <w:rPr>
                <w:rFonts w:ascii="Verdana Pro" w:eastAsia="Verdana Pro" w:hAnsi="Verdana Pro" w:cs="Verdana Pro"/>
                <w:b/>
                <w:sz w:val="20"/>
                <w:szCs w:val="20"/>
              </w:rPr>
              <w:t xml:space="preserve">6.155.916.051,09 </w:t>
            </w:r>
            <w:r w:rsidR="006A0276" w:rsidRPr="005C6FCC">
              <w:rPr>
                <w:rFonts w:ascii="Verdana Pro" w:eastAsia="Verdana Pro" w:hAnsi="Verdana Pro" w:cs="Verdana Pro"/>
                <w:b/>
                <w:sz w:val="20"/>
                <w:szCs w:val="20"/>
              </w:rPr>
              <w:t>lei</w:t>
            </w:r>
          </w:p>
          <w:p w14:paraId="3D7C79DD" w14:textId="66BD2E92" w:rsidR="00166785" w:rsidRPr="005C6FCC" w:rsidRDefault="00166785" w:rsidP="004C574D">
            <w:pPr>
              <w:spacing w:line="240" w:lineRule="auto"/>
              <w:rPr>
                <w:rFonts w:ascii="Verdana Pro" w:eastAsia="Verdana Pro" w:hAnsi="Verdana Pro" w:cs="Verdana Pro"/>
                <w:b/>
                <w:sz w:val="20"/>
                <w:szCs w:val="20"/>
                <w:lang w:val="en-US"/>
              </w:rPr>
            </w:pPr>
            <w:r w:rsidRPr="005C6FCC">
              <w:rPr>
                <w:rFonts w:ascii="Verdana Pro" w:eastAsia="Verdana Pro" w:hAnsi="Verdana Pro" w:cs="Verdana Pro"/>
                <w:b/>
                <w:sz w:val="20"/>
                <w:szCs w:val="20"/>
                <w:lang w:val="en-US"/>
              </w:rPr>
              <w:t>1.256.205.082,91</w:t>
            </w:r>
            <w:r w:rsidR="006A0276" w:rsidRPr="005C6FCC">
              <w:rPr>
                <w:rFonts w:ascii="Verdana Pro" w:eastAsia="Verdana Pro" w:hAnsi="Verdana Pro" w:cs="Verdana Pro"/>
                <w:b/>
                <w:sz w:val="20"/>
                <w:szCs w:val="20"/>
                <w:lang w:val="en-US"/>
              </w:rPr>
              <w:t xml:space="preserve"> euro</w:t>
            </w:r>
          </w:p>
          <w:p w14:paraId="6B5BEBEC" w14:textId="77777777" w:rsidR="00166785" w:rsidRPr="00E85880" w:rsidRDefault="00166785" w:rsidP="004C574D">
            <w:pPr>
              <w:spacing w:line="276" w:lineRule="auto"/>
              <w:ind w:right="72"/>
              <w:rPr>
                <w:rFonts w:ascii="Verdana Pro" w:eastAsia="Verdana Pro" w:hAnsi="Verdana Pro" w:cs="Verdana Pro"/>
                <w:b/>
                <w:sz w:val="20"/>
                <w:szCs w:val="20"/>
              </w:rPr>
            </w:pPr>
          </w:p>
        </w:tc>
        <w:tc>
          <w:tcPr>
            <w:tcW w:w="9090" w:type="dxa"/>
          </w:tcPr>
          <w:p w14:paraId="4076B85E" w14:textId="77777777" w:rsidR="00166785" w:rsidRPr="00E85880" w:rsidRDefault="00166785" w:rsidP="004C574D">
            <w:pPr>
              <w:spacing w:line="276" w:lineRule="auto"/>
              <w:ind w:right="72"/>
              <w:rPr>
                <w:rFonts w:ascii="Arial" w:hAnsi="Arial" w:cs="Arial"/>
                <w:sz w:val="20"/>
                <w:szCs w:val="20"/>
              </w:rPr>
            </w:pPr>
          </w:p>
        </w:tc>
      </w:tr>
    </w:tbl>
    <w:p w14:paraId="33736ECF" w14:textId="6E6EBF88" w:rsidR="00166785" w:rsidRDefault="00166785" w:rsidP="006F334F">
      <w:pPr>
        <w:jc w:val="both"/>
        <w:rPr>
          <w:rFonts w:ascii="Arial" w:hAnsi="Arial" w:cs="Arial"/>
          <w:b/>
          <w:bCs/>
          <w:sz w:val="28"/>
          <w:szCs w:val="28"/>
        </w:rPr>
      </w:pPr>
    </w:p>
    <w:p w14:paraId="29B6B76C" w14:textId="61A77D2E" w:rsidR="00166785" w:rsidRDefault="00166785" w:rsidP="006F334F">
      <w:pPr>
        <w:jc w:val="both"/>
        <w:rPr>
          <w:rFonts w:ascii="Arial" w:hAnsi="Arial" w:cs="Arial"/>
          <w:b/>
          <w:bCs/>
          <w:sz w:val="28"/>
          <w:szCs w:val="28"/>
        </w:rPr>
      </w:pPr>
    </w:p>
    <w:p w14:paraId="717A2A78" w14:textId="77777777" w:rsidR="00166785" w:rsidRDefault="00166785" w:rsidP="006F334F">
      <w:pPr>
        <w:jc w:val="both"/>
        <w:rPr>
          <w:rFonts w:ascii="Arial" w:hAnsi="Arial" w:cs="Arial"/>
          <w:b/>
          <w:bCs/>
          <w:sz w:val="28"/>
          <w:szCs w:val="28"/>
        </w:rPr>
      </w:pPr>
    </w:p>
    <w:p w14:paraId="2F3A991A" w14:textId="77777777" w:rsidR="00BA3919" w:rsidRPr="00FA073D" w:rsidRDefault="00BA3919">
      <w:pPr>
        <w:rPr>
          <w:b/>
          <w:bCs/>
        </w:rPr>
      </w:pPr>
    </w:p>
    <w:sectPr w:rsidR="00BA3919" w:rsidRPr="00FA073D" w:rsidSect="005A1CE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Pro">
    <w:altName w:val="Calibri"/>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26ABC"/>
    <w:multiLevelType w:val="hybridMultilevel"/>
    <w:tmpl w:val="078CD584"/>
    <w:lvl w:ilvl="0" w:tplc="08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051475A"/>
    <w:multiLevelType w:val="hybridMultilevel"/>
    <w:tmpl w:val="30046FE6"/>
    <w:lvl w:ilvl="0" w:tplc="0809000D">
      <w:start w:val="1"/>
      <w:numFmt w:val="bullet"/>
      <w:lvlText w:val=""/>
      <w:lvlJc w:val="left"/>
      <w:pPr>
        <w:ind w:left="720" w:hanging="360"/>
      </w:pPr>
      <w:rPr>
        <w:rFonts w:ascii="Wingdings" w:hAnsi="Wingdings" w:hint="default"/>
      </w:rPr>
    </w:lvl>
    <w:lvl w:ilvl="1" w:tplc="6CA6B2EC">
      <w:start w:val="1"/>
      <w:numFmt w:val="bullet"/>
      <w:lvlText w:val="o"/>
      <w:lvlJc w:val="left"/>
      <w:pPr>
        <w:ind w:left="1440" w:hanging="360"/>
      </w:pPr>
      <w:rPr>
        <w:rFonts w:ascii="Courier New" w:hAnsi="Courier New" w:hint="default"/>
      </w:rPr>
    </w:lvl>
    <w:lvl w:ilvl="2" w:tplc="9A985EF0">
      <w:start w:val="1"/>
      <w:numFmt w:val="bullet"/>
      <w:lvlText w:val=""/>
      <w:lvlJc w:val="left"/>
      <w:pPr>
        <w:ind w:left="2160" w:hanging="360"/>
      </w:pPr>
      <w:rPr>
        <w:rFonts w:ascii="Wingdings" w:hAnsi="Wingdings" w:hint="default"/>
      </w:rPr>
    </w:lvl>
    <w:lvl w:ilvl="3" w:tplc="BB94CD5A">
      <w:start w:val="1"/>
      <w:numFmt w:val="bullet"/>
      <w:lvlText w:val=""/>
      <w:lvlJc w:val="left"/>
      <w:pPr>
        <w:ind w:left="2880" w:hanging="360"/>
      </w:pPr>
      <w:rPr>
        <w:rFonts w:ascii="Symbol" w:hAnsi="Symbol" w:hint="default"/>
      </w:rPr>
    </w:lvl>
    <w:lvl w:ilvl="4" w:tplc="8F38BB38">
      <w:start w:val="1"/>
      <w:numFmt w:val="bullet"/>
      <w:lvlText w:val="o"/>
      <w:lvlJc w:val="left"/>
      <w:pPr>
        <w:ind w:left="3600" w:hanging="360"/>
      </w:pPr>
      <w:rPr>
        <w:rFonts w:ascii="Courier New" w:hAnsi="Courier New" w:hint="default"/>
      </w:rPr>
    </w:lvl>
    <w:lvl w:ilvl="5" w:tplc="DB46A586">
      <w:start w:val="1"/>
      <w:numFmt w:val="bullet"/>
      <w:lvlText w:val=""/>
      <w:lvlJc w:val="left"/>
      <w:pPr>
        <w:ind w:left="4320" w:hanging="360"/>
      </w:pPr>
      <w:rPr>
        <w:rFonts w:ascii="Wingdings" w:hAnsi="Wingdings" w:hint="default"/>
      </w:rPr>
    </w:lvl>
    <w:lvl w:ilvl="6" w:tplc="B388D4C4">
      <w:start w:val="1"/>
      <w:numFmt w:val="bullet"/>
      <w:lvlText w:val=""/>
      <w:lvlJc w:val="left"/>
      <w:pPr>
        <w:ind w:left="5040" w:hanging="360"/>
      </w:pPr>
      <w:rPr>
        <w:rFonts w:ascii="Symbol" w:hAnsi="Symbol" w:hint="default"/>
      </w:rPr>
    </w:lvl>
    <w:lvl w:ilvl="7" w:tplc="FFCAAFD8">
      <w:start w:val="1"/>
      <w:numFmt w:val="bullet"/>
      <w:lvlText w:val="o"/>
      <w:lvlJc w:val="left"/>
      <w:pPr>
        <w:ind w:left="5760" w:hanging="360"/>
      </w:pPr>
      <w:rPr>
        <w:rFonts w:ascii="Courier New" w:hAnsi="Courier New" w:hint="default"/>
      </w:rPr>
    </w:lvl>
    <w:lvl w:ilvl="8" w:tplc="9996BCD0">
      <w:start w:val="1"/>
      <w:numFmt w:val="bullet"/>
      <w:lvlText w:val=""/>
      <w:lvlJc w:val="left"/>
      <w:pPr>
        <w:ind w:left="6480" w:hanging="360"/>
      </w:pPr>
      <w:rPr>
        <w:rFonts w:ascii="Wingdings" w:hAnsi="Wingdings" w:hint="default"/>
      </w:rPr>
    </w:lvl>
  </w:abstractNum>
  <w:abstractNum w:abstractNumId="2" w15:restartNumberingAfterBreak="0">
    <w:nsid w:val="03A56D9D"/>
    <w:multiLevelType w:val="hybridMultilevel"/>
    <w:tmpl w:val="BB645C6A"/>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3B42FA3"/>
    <w:multiLevelType w:val="hybridMultilevel"/>
    <w:tmpl w:val="5EF8B4EC"/>
    <w:lvl w:ilvl="0" w:tplc="08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43044BD"/>
    <w:multiLevelType w:val="hybridMultilevel"/>
    <w:tmpl w:val="790E7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6D58C3"/>
    <w:multiLevelType w:val="hybridMultilevel"/>
    <w:tmpl w:val="9B80E482"/>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0E0D340B"/>
    <w:multiLevelType w:val="hybridMultilevel"/>
    <w:tmpl w:val="7660CB10"/>
    <w:lvl w:ilvl="0" w:tplc="08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382494"/>
    <w:multiLevelType w:val="hybridMultilevel"/>
    <w:tmpl w:val="165AC9C6"/>
    <w:lvl w:ilvl="0" w:tplc="08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8" w15:restartNumberingAfterBreak="0">
    <w:nsid w:val="127A78FB"/>
    <w:multiLevelType w:val="hybridMultilevel"/>
    <w:tmpl w:val="630E671A"/>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163233DA"/>
    <w:multiLevelType w:val="hybridMultilevel"/>
    <w:tmpl w:val="D9366CEC"/>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169E71FC"/>
    <w:multiLevelType w:val="hybridMultilevel"/>
    <w:tmpl w:val="48704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9187030"/>
    <w:multiLevelType w:val="hybridMultilevel"/>
    <w:tmpl w:val="6FC8B544"/>
    <w:lvl w:ilvl="0" w:tplc="88860044">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191E4DB3"/>
    <w:multiLevelType w:val="hybridMultilevel"/>
    <w:tmpl w:val="27EE2CCC"/>
    <w:lvl w:ilvl="0" w:tplc="88860044">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A376BC4"/>
    <w:multiLevelType w:val="hybridMultilevel"/>
    <w:tmpl w:val="18C22194"/>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1E7807F8"/>
    <w:multiLevelType w:val="hybridMultilevel"/>
    <w:tmpl w:val="D14E57C0"/>
    <w:lvl w:ilvl="0" w:tplc="08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209778B8"/>
    <w:multiLevelType w:val="hybridMultilevel"/>
    <w:tmpl w:val="D5108740"/>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221C4AF4"/>
    <w:multiLevelType w:val="hybridMultilevel"/>
    <w:tmpl w:val="6FC68E0A"/>
    <w:lvl w:ilvl="0" w:tplc="08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24FF78E6"/>
    <w:multiLevelType w:val="hybridMultilevel"/>
    <w:tmpl w:val="3070848E"/>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28F14E7F"/>
    <w:multiLevelType w:val="hybridMultilevel"/>
    <w:tmpl w:val="DB2CA066"/>
    <w:lvl w:ilvl="0" w:tplc="1E3E71F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5F0D71"/>
    <w:multiLevelType w:val="hybridMultilevel"/>
    <w:tmpl w:val="A28C49EA"/>
    <w:lvl w:ilvl="0" w:tplc="08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D8437B"/>
    <w:multiLevelType w:val="hybridMultilevel"/>
    <w:tmpl w:val="0162720C"/>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34653D18"/>
    <w:multiLevelType w:val="hybridMultilevel"/>
    <w:tmpl w:val="6D0CF646"/>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358E46BE"/>
    <w:multiLevelType w:val="hybridMultilevel"/>
    <w:tmpl w:val="6F441E2A"/>
    <w:lvl w:ilvl="0" w:tplc="8886004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B170E4F"/>
    <w:multiLevelType w:val="hybridMultilevel"/>
    <w:tmpl w:val="C8AAA08A"/>
    <w:lvl w:ilvl="0" w:tplc="E578D50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484317"/>
    <w:multiLevelType w:val="hybridMultilevel"/>
    <w:tmpl w:val="70D29004"/>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41760EE1"/>
    <w:multiLevelType w:val="hybridMultilevel"/>
    <w:tmpl w:val="13F612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36A7678"/>
    <w:multiLevelType w:val="hybridMultilevel"/>
    <w:tmpl w:val="735AA16E"/>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43A9643B"/>
    <w:multiLevelType w:val="hybridMultilevel"/>
    <w:tmpl w:val="765C4A0C"/>
    <w:lvl w:ilvl="0" w:tplc="0409000D">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471D67F0"/>
    <w:multiLevelType w:val="hybridMultilevel"/>
    <w:tmpl w:val="B14890D4"/>
    <w:lvl w:ilvl="0" w:tplc="E38E533C">
      <w:start w:val="1"/>
      <w:numFmt w:val="bullet"/>
      <w:lvlText w:val=""/>
      <w:lvlJc w:val="left"/>
      <w:pPr>
        <w:ind w:left="540" w:hanging="360"/>
      </w:pPr>
      <w:rPr>
        <w:rFonts w:ascii="Wingdings" w:hAnsi="Wingdings" w:hint="default"/>
      </w:rPr>
    </w:lvl>
    <w:lvl w:ilvl="1" w:tplc="FFFFFFFF" w:tentative="1">
      <w:start w:val="1"/>
      <w:numFmt w:val="bullet"/>
      <w:lvlText w:val="o"/>
      <w:lvlJc w:val="left"/>
      <w:pPr>
        <w:ind w:left="1260" w:hanging="360"/>
      </w:pPr>
      <w:rPr>
        <w:rFonts w:ascii="Courier New" w:hAnsi="Courier New" w:cs="Courier New" w:hint="default"/>
      </w:rPr>
    </w:lvl>
    <w:lvl w:ilvl="2" w:tplc="FFFFFFFF" w:tentative="1">
      <w:start w:val="1"/>
      <w:numFmt w:val="bullet"/>
      <w:lvlText w:val=""/>
      <w:lvlJc w:val="left"/>
      <w:pPr>
        <w:ind w:left="1980" w:hanging="360"/>
      </w:pPr>
      <w:rPr>
        <w:rFonts w:ascii="Wingdings" w:hAnsi="Wingdings" w:hint="default"/>
      </w:rPr>
    </w:lvl>
    <w:lvl w:ilvl="3" w:tplc="FFFFFFFF" w:tentative="1">
      <w:start w:val="1"/>
      <w:numFmt w:val="bullet"/>
      <w:lvlText w:val=""/>
      <w:lvlJc w:val="left"/>
      <w:pPr>
        <w:ind w:left="2700" w:hanging="360"/>
      </w:pPr>
      <w:rPr>
        <w:rFonts w:ascii="Symbol" w:hAnsi="Symbol" w:hint="default"/>
      </w:rPr>
    </w:lvl>
    <w:lvl w:ilvl="4" w:tplc="FFFFFFFF" w:tentative="1">
      <w:start w:val="1"/>
      <w:numFmt w:val="bullet"/>
      <w:lvlText w:val="o"/>
      <w:lvlJc w:val="left"/>
      <w:pPr>
        <w:ind w:left="3420" w:hanging="360"/>
      </w:pPr>
      <w:rPr>
        <w:rFonts w:ascii="Courier New" w:hAnsi="Courier New" w:cs="Courier New" w:hint="default"/>
      </w:rPr>
    </w:lvl>
    <w:lvl w:ilvl="5" w:tplc="FFFFFFFF" w:tentative="1">
      <w:start w:val="1"/>
      <w:numFmt w:val="bullet"/>
      <w:lvlText w:val=""/>
      <w:lvlJc w:val="left"/>
      <w:pPr>
        <w:ind w:left="4140" w:hanging="360"/>
      </w:pPr>
      <w:rPr>
        <w:rFonts w:ascii="Wingdings" w:hAnsi="Wingdings" w:hint="default"/>
      </w:rPr>
    </w:lvl>
    <w:lvl w:ilvl="6" w:tplc="FFFFFFFF" w:tentative="1">
      <w:start w:val="1"/>
      <w:numFmt w:val="bullet"/>
      <w:lvlText w:val=""/>
      <w:lvlJc w:val="left"/>
      <w:pPr>
        <w:ind w:left="4860" w:hanging="360"/>
      </w:pPr>
      <w:rPr>
        <w:rFonts w:ascii="Symbol" w:hAnsi="Symbol" w:hint="default"/>
      </w:rPr>
    </w:lvl>
    <w:lvl w:ilvl="7" w:tplc="FFFFFFFF" w:tentative="1">
      <w:start w:val="1"/>
      <w:numFmt w:val="bullet"/>
      <w:lvlText w:val="o"/>
      <w:lvlJc w:val="left"/>
      <w:pPr>
        <w:ind w:left="5580" w:hanging="360"/>
      </w:pPr>
      <w:rPr>
        <w:rFonts w:ascii="Courier New" w:hAnsi="Courier New" w:cs="Courier New" w:hint="default"/>
      </w:rPr>
    </w:lvl>
    <w:lvl w:ilvl="8" w:tplc="FFFFFFFF" w:tentative="1">
      <w:start w:val="1"/>
      <w:numFmt w:val="bullet"/>
      <w:lvlText w:val=""/>
      <w:lvlJc w:val="left"/>
      <w:pPr>
        <w:ind w:left="6300" w:hanging="360"/>
      </w:pPr>
      <w:rPr>
        <w:rFonts w:ascii="Wingdings" w:hAnsi="Wingdings" w:hint="default"/>
      </w:rPr>
    </w:lvl>
  </w:abstractNum>
  <w:abstractNum w:abstractNumId="29" w15:restartNumberingAfterBreak="0">
    <w:nsid w:val="49515CD3"/>
    <w:multiLevelType w:val="hybridMultilevel"/>
    <w:tmpl w:val="BAC49CA2"/>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4A1B3BBA"/>
    <w:multiLevelType w:val="hybridMultilevel"/>
    <w:tmpl w:val="08608610"/>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51DB180C"/>
    <w:multiLevelType w:val="hybridMultilevel"/>
    <w:tmpl w:val="5D7013BC"/>
    <w:lvl w:ilvl="0" w:tplc="4D4CE5EA">
      <w:start w:val="1"/>
      <w:numFmt w:val="bullet"/>
      <w:lvlText w:val="o"/>
      <w:lvlJc w:val="left"/>
      <w:pPr>
        <w:ind w:left="1440" w:hanging="360"/>
      </w:pPr>
      <w:rPr>
        <w:rFonts w:ascii="Courier New" w:hAnsi="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54731111"/>
    <w:multiLevelType w:val="hybridMultilevel"/>
    <w:tmpl w:val="60341C0C"/>
    <w:lvl w:ilvl="0" w:tplc="CA247D5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7104916"/>
    <w:multiLevelType w:val="hybridMultilevel"/>
    <w:tmpl w:val="28F0D770"/>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5C003200"/>
    <w:multiLevelType w:val="hybridMultilevel"/>
    <w:tmpl w:val="C76CECEC"/>
    <w:lvl w:ilvl="0" w:tplc="08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00C6E6A"/>
    <w:multiLevelType w:val="hybridMultilevel"/>
    <w:tmpl w:val="6A6C1EA2"/>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5176F2B"/>
    <w:multiLevelType w:val="hybridMultilevel"/>
    <w:tmpl w:val="C934889E"/>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6F6C4F51"/>
    <w:multiLevelType w:val="hybridMultilevel"/>
    <w:tmpl w:val="31504C3E"/>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72964571"/>
    <w:multiLevelType w:val="hybridMultilevel"/>
    <w:tmpl w:val="D2C8DB3A"/>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9" w15:restartNumberingAfterBreak="0">
    <w:nsid w:val="76207323"/>
    <w:multiLevelType w:val="hybridMultilevel"/>
    <w:tmpl w:val="94144774"/>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0" w15:restartNumberingAfterBreak="0">
    <w:nsid w:val="76817A02"/>
    <w:multiLevelType w:val="hybridMultilevel"/>
    <w:tmpl w:val="45624646"/>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1" w15:restartNumberingAfterBreak="0">
    <w:nsid w:val="76904377"/>
    <w:multiLevelType w:val="hybridMultilevel"/>
    <w:tmpl w:val="D50A700A"/>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2" w15:restartNumberingAfterBreak="0">
    <w:nsid w:val="78D673AC"/>
    <w:multiLevelType w:val="hybridMultilevel"/>
    <w:tmpl w:val="67606E8E"/>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3" w15:restartNumberingAfterBreak="0">
    <w:nsid w:val="7E5731CB"/>
    <w:multiLevelType w:val="hybridMultilevel"/>
    <w:tmpl w:val="E8D8465C"/>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7EED2D17"/>
    <w:multiLevelType w:val="hybridMultilevel"/>
    <w:tmpl w:val="E2A8C344"/>
    <w:lvl w:ilvl="0" w:tplc="E38E533C">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115641343">
    <w:abstractNumId w:val="18"/>
  </w:num>
  <w:num w:numId="2" w16cid:durableId="446004770">
    <w:abstractNumId w:val="32"/>
  </w:num>
  <w:num w:numId="3" w16cid:durableId="739988050">
    <w:abstractNumId w:val="4"/>
  </w:num>
  <w:num w:numId="4" w16cid:durableId="883447548">
    <w:abstractNumId w:val="27"/>
  </w:num>
  <w:num w:numId="5" w16cid:durableId="719717610">
    <w:abstractNumId w:val="5"/>
  </w:num>
  <w:num w:numId="6" w16cid:durableId="473915068">
    <w:abstractNumId w:val="29"/>
  </w:num>
  <w:num w:numId="7" w16cid:durableId="1345084530">
    <w:abstractNumId w:val="8"/>
  </w:num>
  <w:num w:numId="8" w16cid:durableId="580020611">
    <w:abstractNumId w:val="2"/>
  </w:num>
  <w:num w:numId="9" w16cid:durableId="338388310">
    <w:abstractNumId w:val="38"/>
  </w:num>
  <w:num w:numId="10" w16cid:durableId="261960426">
    <w:abstractNumId w:val="43"/>
  </w:num>
  <w:num w:numId="11" w16cid:durableId="2049135609">
    <w:abstractNumId w:val="28"/>
  </w:num>
  <w:num w:numId="12" w16cid:durableId="707609762">
    <w:abstractNumId w:val="15"/>
  </w:num>
  <w:num w:numId="13" w16cid:durableId="533470021">
    <w:abstractNumId w:val="9"/>
  </w:num>
  <w:num w:numId="14" w16cid:durableId="2028947724">
    <w:abstractNumId w:val="33"/>
  </w:num>
  <w:num w:numId="15" w16cid:durableId="1643804069">
    <w:abstractNumId w:val="30"/>
  </w:num>
  <w:num w:numId="16" w16cid:durableId="1807160457">
    <w:abstractNumId w:val="42"/>
  </w:num>
  <w:num w:numId="17" w16cid:durableId="2096435725">
    <w:abstractNumId w:val="37"/>
  </w:num>
  <w:num w:numId="18" w16cid:durableId="152184152">
    <w:abstractNumId w:val="24"/>
  </w:num>
  <w:num w:numId="19" w16cid:durableId="1549685221">
    <w:abstractNumId w:val="13"/>
  </w:num>
  <w:num w:numId="20" w16cid:durableId="864515093">
    <w:abstractNumId w:val="40"/>
  </w:num>
  <w:num w:numId="21" w16cid:durableId="779380511">
    <w:abstractNumId w:val="21"/>
  </w:num>
  <w:num w:numId="22" w16cid:durableId="1189414081">
    <w:abstractNumId w:val="41"/>
  </w:num>
  <w:num w:numId="23" w16cid:durableId="1843347796">
    <w:abstractNumId w:val="20"/>
  </w:num>
  <w:num w:numId="24" w16cid:durableId="2060128526">
    <w:abstractNumId w:val="44"/>
  </w:num>
  <w:num w:numId="25" w16cid:durableId="972904812">
    <w:abstractNumId w:val="36"/>
  </w:num>
  <w:num w:numId="26" w16cid:durableId="1647198509">
    <w:abstractNumId w:val="17"/>
  </w:num>
  <w:num w:numId="27" w16cid:durableId="545600534">
    <w:abstractNumId w:val="32"/>
  </w:num>
  <w:num w:numId="28" w16cid:durableId="497581842">
    <w:abstractNumId w:val="34"/>
  </w:num>
  <w:num w:numId="29" w16cid:durableId="1974095267">
    <w:abstractNumId w:val="23"/>
  </w:num>
  <w:num w:numId="30" w16cid:durableId="2039893856">
    <w:abstractNumId w:val="11"/>
  </w:num>
  <w:num w:numId="31" w16cid:durableId="1707362881">
    <w:abstractNumId w:val="12"/>
  </w:num>
  <w:num w:numId="32" w16cid:durableId="465775574">
    <w:abstractNumId w:val="3"/>
  </w:num>
  <w:num w:numId="33" w16cid:durableId="430584705">
    <w:abstractNumId w:val="16"/>
  </w:num>
  <w:num w:numId="34" w16cid:durableId="1437872176">
    <w:abstractNumId w:val="6"/>
  </w:num>
  <w:num w:numId="35" w16cid:durableId="2038694869">
    <w:abstractNumId w:val="14"/>
  </w:num>
  <w:num w:numId="36" w16cid:durableId="853803765">
    <w:abstractNumId w:val="19"/>
  </w:num>
  <w:num w:numId="37" w16cid:durableId="1447039055">
    <w:abstractNumId w:val="10"/>
  </w:num>
  <w:num w:numId="38" w16cid:durableId="199439515">
    <w:abstractNumId w:val="25"/>
  </w:num>
  <w:num w:numId="39" w16cid:durableId="1795438449">
    <w:abstractNumId w:val="1"/>
  </w:num>
  <w:num w:numId="40" w16cid:durableId="564073041">
    <w:abstractNumId w:val="31"/>
  </w:num>
  <w:num w:numId="41" w16cid:durableId="1660840727">
    <w:abstractNumId w:val="26"/>
  </w:num>
  <w:num w:numId="42" w16cid:durableId="490292411">
    <w:abstractNumId w:val="7"/>
  </w:num>
  <w:num w:numId="43" w16cid:durableId="655958119">
    <w:abstractNumId w:val="39"/>
  </w:num>
  <w:num w:numId="44" w16cid:durableId="1139764957">
    <w:abstractNumId w:val="0"/>
  </w:num>
  <w:num w:numId="45" w16cid:durableId="1348484644">
    <w:abstractNumId w:val="22"/>
  </w:num>
  <w:num w:numId="46" w16cid:durableId="103261154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C6B"/>
    <w:rsid w:val="0000659A"/>
    <w:rsid w:val="00007553"/>
    <w:rsid w:val="00012E08"/>
    <w:rsid w:val="000309A2"/>
    <w:rsid w:val="0005710E"/>
    <w:rsid w:val="00064B5E"/>
    <w:rsid w:val="000669FA"/>
    <w:rsid w:val="000772A1"/>
    <w:rsid w:val="00080CD7"/>
    <w:rsid w:val="000839DF"/>
    <w:rsid w:val="00090560"/>
    <w:rsid w:val="00093B2B"/>
    <w:rsid w:val="00095042"/>
    <w:rsid w:val="000C2391"/>
    <w:rsid w:val="000D23B2"/>
    <w:rsid w:val="000E60DF"/>
    <w:rsid w:val="000F4A92"/>
    <w:rsid w:val="00107BD2"/>
    <w:rsid w:val="0011563B"/>
    <w:rsid w:val="001257CA"/>
    <w:rsid w:val="001260C0"/>
    <w:rsid w:val="00126CFE"/>
    <w:rsid w:val="001443D3"/>
    <w:rsid w:val="0015204C"/>
    <w:rsid w:val="00165C3B"/>
    <w:rsid w:val="001664E4"/>
    <w:rsid w:val="00166785"/>
    <w:rsid w:val="00190D68"/>
    <w:rsid w:val="00194F85"/>
    <w:rsid w:val="001D05CB"/>
    <w:rsid w:val="001D3D69"/>
    <w:rsid w:val="001D4755"/>
    <w:rsid w:val="001F4AFB"/>
    <w:rsid w:val="001F5B45"/>
    <w:rsid w:val="001F6D7F"/>
    <w:rsid w:val="00200B60"/>
    <w:rsid w:val="00203D18"/>
    <w:rsid w:val="0020545D"/>
    <w:rsid w:val="00206A02"/>
    <w:rsid w:val="00210585"/>
    <w:rsid w:val="0021268D"/>
    <w:rsid w:val="0024499F"/>
    <w:rsid w:val="002460B9"/>
    <w:rsid w:val="00261659"/>
    <w:rsid w:val="002861EE"/>
    <w:rsid w:val="002874E4"/>
    <w:rsid w:val="00294149"/>
    <w:rsid w:val="002A455D"/>
    <w:rsid w:val="002A771D"/>
    <w:rsid w:val="002B7FD1"/>
    <w:rsid w:val="002C23ED"/>
    <w:rsid w:val="002D15B7"/>
    <w:rsid w:val="002D202C"/>
    <w:rsid w:val="002E1C0C"/>
    <w:rsid w:val="002E5AF8"/>
    <w:rsid w:val="002E668E"/>
    <w:rsid w:val="002E669A"/>
    <w:rsid w:val="002F163D"/>
    <w:rsid w:val="002F7011"/>
    <w:rsid w:val="003008DC"/>
    <w:rsid w:val="00306F8F"/>
    <w:rsid w:val="00312756"/>
    <w:rsid w:val="003212D6"/>
    <w:rsid w:val="003367EA"/>
    <w:rsid w:val="0034010E"/>
    <w:rsid w:val="00344CE3"/>
    <w:rsid w:val="00356753"/>
    <w:rsid w:val="003728E8"/>
    <w:rsid w:val="003736B0"/>
    <w:rsid w:val="003B42E2"/>
    <w:rsid w:val="003C11D2"/>
    <w:rsid w:val="004000FB"/>
    <w:rsid w:val="00400524"/>
    <w:rsid w:val="00400647"/>
    <w:rsid w:val="004069F7"/>
    <w:rsid w:val="004146FA"/>
    <w:rsid w:val="00423B40"/>
    <w:rsid w:val="00452753"/>
    <w:rsid w:val="00475741"/>
    <w:rsid w:val="00497EA5"/>
    <w:rsid w:val="004C4CE8"/>
    <w:rsid w:val="004E63DC"/>
    <w:rsid w:val="004E72F5"/>
    <w:rsid w:val="004F1980"/>
    <w:rsid w:val="004F4853"/>
    <w:rsid w:val="004F540C"/>
    <w:rsid w:val="005030A2"/>
    <w:rsid w:val="00503F0C"/>
    <w:rsid w:val="00520580"/>
    <w:rsid w:val="00527362"/>
    <w:rsid w:val="005324F5"/>
    <w:rsid w:val="005328E6"/>
    <w:rsid w:val="005421F3"/>
    <w:rsid w:val="00556422"/>
    <w:rsid w:val="00561A46"/>
    <w:rsid w:val="00566000"/>
    <w:rsid w:val="005A1CEE"/>
    <w:rsid w:val="005A2620"/>
    <w:rsid w:val="005C6FCC"/>
    <w:rsid w:val="005D241E"/>
    <w:rsid w:val="005F14EA"/>
    <w:rsid w:val="005F23FF"/>
    <w:rsid w:val="006006FA"/>
    <w:rsid w:val="00600700"/>
    <w:rsid w:val="00616A10"/>
    <w:rsid w:val="00656BE9"/>
    <w:rsid w:val="0066073F"/>
    <w:rsid w:val="00681B0D"/>
    <w:rsid w:val="006842EA"/>
    <w:rsid w:val="00694A37"/>
    <w:rsid w:val="006A0276"/>
    <w:rsid w:val="006A093F"/>
    <w:rsid w:val="006B7584"/>
    <w:rsid w:val="006B77D8"/>
    <w:rsid w:val="006B7A6D"/>
    <w:rsid w:val="006BA624"/>
    <w:rsid w:val="006D1F71"/>
    <w:rsid w:val="006D2803"/>
    <w:rsid w:val="006E4F90"/>
    <w:rsid w:val="006EE138"/>
    <w:rsid w:val="006F334F"/>
    <w:rsid w:val="00704BB9"/>
    <w:rsid w:val="00715912"/>
    <w:rsid w:val="007166A6"/>
    <w:rsid w:val="00733C22"/>
    <w:rsid w:val="00733FD1"/>
    <w:rsid w:val="0075203C"/>
    <w:rsid w:val="007549E7"/>
    <w:rsid w:val="007572AA"/>
    <w:rsid w:val="00765AF3"/>
    <w:rsid w:val="007664CF"/>
    <w:rsid w:val="00767FBF"/>
    <w:rsid w:val="00774D4C"/>
    <w:rsid w:val="0078184A"/>
    <w:rsid w:val="00793DB7"/>
    <w:rsid w:val="007945B2"/>
    <w:rsid w:val="007B4715"/>
    <w:rsid w:val="007C17A1"/>
    <w:rsid w:val="007D4CEE"/>
    <w:rsid w:val="00801BA2"/>
    <w:rsid w:val="0080643E"/>
    <w:rsid w:val="00815B07"/>
    <w:rsid w:val="00815D7E"/>
    <w:rsid w:val="00833102"/>
    <w:rsid w:val="0083324F"/>
    <w:rsid w:val="00836D8B"/>
    <w:rsid w:val="008524D6"/>
    <w:rsid w:val="00853602"/>
    <w:rsid w:val="008736FD"/>
    <w:rsid w:val="008747BA"/>
    <w:rsid w:val="00880F6D"/>
    <w:rsid w:val="00890B42"/>
    <w:rsid w:val="00896DE2"/>
    <w:rsid w:val="008A0C58"/>
    <w:rsid w:val="008A21D5"/>
    <w:rsid w:val="008A23BE"/>
    <w:rsid w:val="008B2D2B"/>
    <w:rsid w:val="008B7267"/>
    <w:rsid w:val="008C1E3C"/>
    <w:rsid w:val="008C3080"/>
    <w:rsid w:val="008E3C18"/>
    <w:rsid w:val="008E530A"/>
    <w:rsid w:val="008F6C5E"/>
    <w:rsid w:val="0090269C"/>
    <w:rsid w:val="00907B38"/>
    <w:rsid w:val="00915AF2"/>
    <w:rsid w:val="00926390"/>
    <w:rsid w:val="0093156E"/>
    <w:rsid w:val="00946990"/>
    <w:rsid w:val="00950A21"/>
    <w:rsid w:val="00961B20"/>
    <w:rsid w:val="00981CFD"/>
    <w:rsid w:val="009A0FE8"/>
    <w:rsid w:val="009A4CA4"/>
    <w:rsid w:val="009B0E08"/>
    <w:rsid w:val="009B72AF"/>
    <w:rsid w:val="009C1989"/>
    <w:rsid w:val="009C3DE3"/>
    <w:rsid w:val="009E76C1"/>
    <w:rsid w:val="00A02601"/>
    <w:rsid w:val="00A20C14"/>
    <w:rsid w:val="00A26B61"/>
    <w:rsid w:val="00A3278E"/>
    <w:rsid w:val="00A6258D"/>
    <w:rsid w:val="00A65E53"/>
    <w:rsid w:val="00A76A12"/>
    <w:rsid w:val="00A81E31"/>
    <w:rsid w:val="00A83AFF"/>
    <w:rsid w:val="00A908DB"/>
    <w:rsid w:val="00AA5306"/>
    <w:rsid w:val="00AB073C"/>
    <w:rsid w:val="00AB2FD4"/>
    <w:rsid w:val="00AC111B"/>
    <w:rsid w:val="00AD0865"/>
    <w:rsid w:val="00AD0E61"/>
    <w:rsid w:val="00AD2E26"/>
    <w:rsid w:val="00AD490B"/>
    <w:rsid w:val="00AE1F60"/>
    <w:rsid w:val="00AE5D01"/>
    <w:rsid w:val="00AF24DE"/>
    <w:rsid w:val="00B037EF"/>
    <w:rsid w:val="00B053F2"/>
    <w:rsid w:val="00B06EBB"/>
    <w:rsid w:val="00B12E01"/>
    <w:rsid w:val="00B169B2"/>
    <w:rsid w:val="00B21BC3"/>
    <w:rsid w:val="00B440DF"/>
    <w:rsid w:val="00B4617F"/>
    <w:rsid w:val="00B635E0"/>
    <w:rsid w:val="00B66E8B"/>
    <w:rsid w:val="00B85394"/>
    <w:rsid w:val="00BA3919"/>
    <w:rsid w:val="00BA4FA4"/>
    <w:rsid w:val="00BA76DA"/>
    <w:rsid w:val="00BE598D"/>
    <w:rsid w:val="00BE672B"/>
    <w:rsid w:val="00BF2172"/>
    <w:rsid w:val="00C02EC5"/>
    <w:rsid w:val="00C337B9"/>
    <w:rsid w:val="00C5289E"/>
    <w:rsid w:val="00C52E8B"/>
    <w:rsid w:val="00C5496A"/>
    <w:rsid w:val="00C553C8"/>
    <w:rsid w:val="00C6117F"/>
    <w:rsid w:val="00C63C8E"/>
    <w:rsid w:val="00C97C36"/>
    <w:rsid w:val="00CA7C75"/>
    <w:rsid w:val="00CB1014"/>
    <w:rsid w:val="00CB2FF9"/>
    <w:rsid w:val="00CB4C6B"/>
    <w:rsid w:val="00D06F8B"/>
    <w:rsid w:val="00D108DD"/>
    <w:rsid w:val="00D1623E"/>
    <w:rsid w:val="00D17343"/>
    <w:rsid w:val="00D22582"/>
    <w:rsid w:val="00D24993"/>
    <w:rsid w:val="00D300C0"/>
    <w:rsid w:val="00D35854"/>
    <w:rsid w:val="00D51D6E"/>
    <w:rsid w:val="00D625CD"/>
    <w:rsid w:val="00D63FE3"/>
    <w:rsid w:val="00D655BB"/>
    <w:rsid w:val="00D95C3E"/>
    <w:rsid w:val="00DA324F"/>
    <w:rsid w:val="00DA46C4"/>
    <w:rsid w:val="00DA4F25"/>
    <w:rsid w:val="00DB6965"/>
    <w:rsid w:val="00DF0C77"/>
    <w:rsid w:val="00E037A5"/>
    <w:rsid w:val="00E1664B"/>
    <w:rsid w:val="00E243E6"/>
    <w:rsid w:val="00E27420"/>
    <w:rsid w:val="00E31B37"/>
    <w:rsid w:val="00E31E1D"/>
    <w:rsid w:val="00E46F0E"/>
    <w:rsid w:val="00E52013"/>
    <w:rsid w:val="00E648EE"/>
    <w:rsid w:val="00E64D09"/>
    <w:rsid w:val="00E75D1C"/>
    <w:rsid w:val="00E85880"/>
    <w:rsid w:val="00E90C3F"/>
    <w:rsid w:val="00EB3896"/>
    <w:rsid w:val="00EB6002"/>
    <w:rsid w:val="00F376CB"/>
    <w:rsid w:val="00F44D9F"/>
    <w:rsid w:val="00F5200A"/>
    <w:rsid w:val="00F62C1A"/>
    <w:rsid w:val="00F84193"/>
    <w:rsid w:val="00F85D08"/>
    <w:rsid w:val="00F87BD3"/>
    <w:rsid w:val="00F95B05"/>
    <w:rsid w:val="00FA073D"/>
    <w:rsid w:val="00FA1F2D"/>
    <w:rsid w:val="00FB1216"/>
    <w:rsid w:val="00FB4BFB"/>
    <w:rsid w:val="00FD217D"/>
    <w:rsid w:val="00FD71E1"/>
    <w:rsid w:val="02415D6B"/>
    <w:rsid w:val="03E3ABE3"/>
    <w:rsid w:val="04645DC6"/>
    <w:rsid w:val="048BD45E"/>
    <w:rsid w:val="049FA1C2"/>
    <w:rsid w:val="04FC7987"/>
    <w:rsid w:val="053ACA77"/>
    <w:rsid w:val="057FC166"/>
    <w:rsid w:val="059B5140"/>
    <w:rsid w:val="05C06C72"/>
    <w:rsid w:val="05D7BF27"/>
    <w:rsid w:val="05DF4C10"/>
    <w:rsid w:val="065F07AE"/>
    <w:rsid w:val="06A61C19"/>
    <w:rsid w:val="071DC9AE"/>
    <w:rsid w:val="0762C095"/>
    <w:rsid w:val="082CDCD2"/>
    <w:rsid w:val="082CFBA1"/>
    <w:rsid w:val="08CEC41D"/>
    <w:rsid w:val="09B81C3C"/>
    <w:rsid w:val="09E787FF"/>
    <w:rsid w:val="0A0C300A"/>
    <w:rsid w:val="0AEE6767"/>
    <w:rsid w:val="0B197BFC"/>
    <w:rsid w:val="0BC0D678"/>
    <w:rsid w:val="0BDFD883"/>
    <w:rsid w:val="0BF89FC9"/>
    <w:rsid w:val="0C4DF72F"/>
    <w:rsid w:val="0C4F6C11"/>
    <w:rsid w:val="0C5782DD"/>
    <w:rsid w:val="0DB76688"/>
    <w:rsid w:val="0DE07C8E"/>
    <w:rsid w:val="0F3ADE73"/>
    <w:rsid w:val="100E22FB"/>
    <w:rsid w:val="10B8A71F"/>
    <w:rsid w:val="11193672"/>
    <w:rsid w:val="12E8DF09"/>
    <w:rsid w:val="138C12CA"/>
    <w:rsid w:val="139B5E0B"/>
    <w:rsid w:val="13A6CCE5"/>
    <w:rsid w:val="13EEBD1B"/>
    <w:rsid w:val="144F14FF"/>
    <w:rsid w:val="14608FE5"/>
    <w:rsid w:val="15137F02"/>
    <w:rsid w:val="15BA2BDE"/>
    <w:rsid w:val="15C4C217"/>
    <w:rsid w:val="16AD37F8"/>
    <w:rsid w:val="17CC1E95"/>
    <w:rsid w:val="181CFDD2"/>
    <w:rsid w:val="192E4CFC"/>
    <w:rsid w:val="1ABE7922"/>
    <w:rsid w:val="1AE79805"/>
    <w:rsid w:val="1B2FC7CD"/>
    <w:rsid w:val="1B789025"/>
    <w:rsid w:val="1B8EB53B"/>
    <w:rsid w:val="1BDECFBF"/>
    <w:rsid w:val="1C255F69"/>
    <w:rsid w:val="1C76A06C"/>
    <w:rsid w:val="1C7E7038"/>
    <w:rsid w:val="1C833690"/>
    <w:rsid w:val="1CA8BA0E"/>
    <w:rsid w:val="1D4032EB"/>
    <w:rsid w:val="1DD9AA60"/>
    <w:rsid w:val="1E357676"/>
    <w:rsid w:val="1E42D419"/>
    <w:rsid w:val="1ED09D3E"/>
    <w:rsid w:val="1EFDEF0B"/>
    <w:rsid w:val="1F2E76CC"/>
    <w:rsid w:val="1F7548EB"/>
    <w:rsid w:val="1FA32A41"/>
    <w:rsid w:val="1FBB4BCA"/>
    <w:rsid w:val="1FF0636F"/>
    <w:rsid w:val="2070F869"/>
    <w:rsid w:val="211848DD"/>
    <w:rsid w:val="21A8E802"/>
    <w:rsid w:val="21F0DC96"/>
    <w:rsid w:val="22675B46"/>
    <w:rsid w:val="22EA8A8E"/>
    <w:rsid w:val="22F54DB5"/>
    <w:rsid w:val="23C0F73F"/>
    <w:rsid w:val="23D25F49"/>
    <w:rsid w:val="242ECC98"/>
    <w:rsid w:val="249361B8"/>
    <w:rsid w:val="25806273"/>
    <w:rsid w:val="25F9CD12"/>
    <w:rsid w:val="2602F271"/>
    <w:rsid w:val="2635FC83"/>
    <w:rsid w:val="26A237F7"/>
    <w:rsid w:val="26B401C6"/>
    <w:rsid w:val="27B673CD"/>
    <w:rsid w:val="27F1B7C9"/>
    <w:rsid w:val="286C8FA6"/>
    <w:rsid w:val="288A128D"/>
    <w:rsid w:val="2898C5C2"/>
    <w:rsid w:val="29176036"/>
    <w:rsid w:val="29316217"/>
    <w:rsid w:val="293BA32D"/>
    <w:rsid w:val="294BD483"/>
    <w:rsid w:val="29745BD5"/>
    <w:rsid w:val="29FA0942"/>
    <w:rsid w:val="2AE3CA24"/>
    <w:rsid w:val="2B1BFEFC"/>
    <w:rsid w:val="2B65FD4D"/>
    <w:rsid w:val="2BA75FF5"/>
    <w:rsid w:val="2C20DA24"/>
    <w:rsid w:val="2C237472"/>
    <w:rsid w:val="2CBBA8E1"/>
    <w:rsid w:val="2CD82DE0"/>
    <w:rsid w:val="2D15863A"/>
    <w:rsid w:val="2D445782"/>
    <w:rsid w:val="2DD5CD44"/>
    <w:rsid w:val="2E16A76E"/>
    <w:rsid w:val="2EC863D9"/>
    <w:rsid w:val="2F652AC6"/>
    <w:rsid w:val="2F83261B"/>
    <w:rsid w:val="30DEBF51"/>
    <w:rsid w:val="30FB147B"/>
    <w:rsid w:val="3244A40F"/>
    <w:rsid w:val="328266B3"/>
    <w:rsid w:val="32BBC2FC"/>
    <w:rsid w:val="337C2313"/>
    <w:rsid w:val="33F19EB9"/>
    <w:rsid w:val="34264A84"/>
    <w:rsid w:val="34818397"/>
    <w:rsid w:val="34BD7286"/>
    <w:rsid w:val="34CE4558"/>
    <w:rsid w:val="359A64D9"/>
    <w:rsid w:val="36BFF8FB"/>
    <w:rsid w:val="36D24FE1"/>
    <w:rsid w:val="3733ADE4"/>
    <w:rsid w:val="377D2467"/>
    <w:rsid w:val="37C2DBE5"/>
    <w:rsid w:val="381D07F7"/>
    <w:rsid w:val="38A57C5A"/>
    <w:rsid w:val="39CAB529"/>
    <w:rsid w:val="3A4AF014"/>
    <w:rsid w:val="3A816DB8"/>
    <w:rsid w:val="3ACBB25E"/>
    <w:rsid w:val="3B4CE130"/>
    <w:rsid w:val="3B9D2CE0"/>
    <w:rsid w:val="3B9E1490"/>
    <w:rsid w:val="3C0F131E"/>
    <w:rsid w:val="3CDE73E4"/>
    <w:rsid w:val="3CEA875D"/>
    <w:rsid w:val="3E1D2213"/>
    <w:rsid w:val="3F16D953"/>
    <w:rsid w:val="3F6B5778"/>
    <w:rsid w:val="40248853"/>
    <w:rsid w:val="40587BDF"/>
    <w:rsid w:val="406D4D23"/>
    <w:rsid w:val="40D5CC0A"/>
    <w:rsid w:val="411C5690"/>
    <w:rsid w:val="4208EBAE"/>
    <w:rsid w:val="4255CA5D"/>
    <w:rsid w:val="434A8E3A"/>
    <w:rsid w:val="440146C9"/>
    <w:rsid w:val="44FAFE09"/>
    <w:rsid w:val="4509EFD3"/>
    <w:rsid w:val="472BEA67"/>
    <w:rsid w:val="47D507BC"/>
    <w:rsid w:val="47EA58AF"/>
    <w:rsid w:val="488FCE1D"/>
    <w:rsid w:val="4896B264"/>
    <w:rsid w:val="49553C32"/>
    <w:rsid w:val="498BA34C"/>
    <w:rsid w:val="49C56A60"/>
    <w:rsid w:val="49EDF7A1"/>
    <w:rsid w:val="4A2B1415"/>
    <w:rsid w:val="4A77A476"/>
    <w:rsid w:val="4A855A8C"/>
    <w:rsid w:val="4B109A99"/>
    <w:rsid w:val="4B43CDD0"/>
    <w:rsid w:val="4B74AE65"/>
    <w:rsid w:val="4C70E728"/>
    <w:rsid w:val="4C83781E"/>
    <w:rsid w:val="4DAA1D6D"/>
    <w:rsid w:val="4E7C684E"/>
    <w:rsid w:val="500F3D3B"/>
    <w:rsid w:val="50951FAB"/>
    <w:rsid w:val="50C72F7C"/>
    <w:rsid w:val="5120F522"/>
    <w:rsid w:val="514B8CAD"/>
    <w:rsid w:val="5169803B"/>
    <w:rsid w:val="517E1911"/>
    <w:rsid w:val="51955818"/>
    <w:rsid w:val="52293825"/>
    <w:rsid w:val="522EFD49"/>
    <w:rsid w:val="52A0752D"/>
    <w:rsid w:val="53348381"/>
    <w:rsid w:val="54297A4B"/>
    <w:rsid w:val="548EA0A6"/>
    <w:rsid w:val="54BBEC2C"/>
    <w:rsid w:val="5578A886"/>
    <w:rsid w:val="560D8A2F"/>
    <w:rsid w:val="5650CEE5"/>
    <w:rsid w:val="56AB1EC9"/>
    <w:rsid w:val="571B8CA6"/>
    <w:rsid w:val="57348232"/>
    <w:rsid w:val="57B9380D"/>
    <w:rsid w:val="5870EB2D"/>
    <w:rsid w:val="58CF1C0F"/>
    <w:rsid w:val="596C4591"/>
    <w:rsid w:val="5A0F855B"/>
    <w:rsid w:val="5A2AE608"/>
    <w:rsid w:val="5A6FD2C8"/>
    <w:rsid w:val="5AB5388D"/>
    <w:rsid w:val="5AE40BB2"/>
    <w:rsid w:val="5BC1933F"/>
    <w:rsid w:val="5BC32F37"/>
    <w:rsid w:val="5BC7630D"/>
    <w:rsid w:val="5C42378C"/>
    <w:rsid w:val="5CBEDEB5"/>
    <w:rsid w:val="5CCE2714"/>
    <w:rsid w:val="5D1CCB30"/>
    <w:rsid w:val="5D50214D"/>
    <w:rsid w:val="5DEED88C"/>
    <w:rsid w:val="5DF35223"/>
    <w:rsid w:val="5E35BBFC"/>
    <w:rsid w:val="5E5B795F"/>
    <w:rsid w:val="5F313791"/>
    <w:rsid w:val="60295075"/>
    <w:rsid w:val="612142F6"/>
    <w:rsid w:val="612FA754"/>
    <w:rsid w:val="61E8B46F"/>
    <w:rsid w:val="62C54356"/>
    <w:rsid w:val="62DDAA53"/>
    <w:rsid w:val="62EE94F7"/>
    <w:rsid w:val="646CFE1B"/>
    <w:rsid w:val="64DAC6CA"/>
    <w:rsid w:val="6550BE51"/>
    <w:rsid w:val="6597A192"/>
    <w:rsid w:val="669CA441"/>
    <w:rsid w:val="66A02B73"/>
    <w:rsid w:val="66F9949D"/>
    <w:rsid w:val="67088CB1"/>
    <w:rsid w:val="67163880"/>
    <w:rsid w:val="672B53E6"/>
    <w:rsid w:val="6731B070"/>
    <w:rsid w:val="675F7742"/>
    <w:rsid w:val="67733E25"/>
    <w:rsid w:val="67A726F0"/>
    <w:rsid w:val="67A9B311"/>
    <w:rsid w:val="68428799"/>
    <w:rsid w:val="684D1410"/>
    <w:rsid w:val="693EB9CF"/>
    <w:rsid w:val="69A52CB3"/>
    <w:rsid w:val="6A65234D"/>
    <w:rsid w:val="6AC7A4A6"/>
    <w:rsid w:val="6B271DC3"/>
    <w:rsid w:val="6B5E93D7"/>
    <w:rsid w:val="6B907123"/>
    <w:rsid w:val="6C2700C4"/>
    <w:rsid w:val="6C66D12C"/>
    <w:rsid w:val="6CD24C80"/>
    <w:rsid w:val="6CDDB953"/>
    <w:rsid w:val="6CF0E7D8"/>
    <w:rsid w:val="6DD77093"/>
    <w:rsid w:val="6DDA6BCA"/>
    <w:rsid w:val="7046A536"/>
    <w:rsid w:val="70A5A819"/>
    <w:rsid w:val="710DEEBC"/>
    <w:rsid w:val="714B62A3"/>
    <w:rsid w:val="7241ACFC"/>
    <w:rsid w:val="72AFA713"/>
    <w:rsid w:val="74897DF7"/>
    <w:rsid w:val="74B47305"/>
    <w:rsid w:val="7515F5E4"/>
    <w:rsid w:val="7533DBAC"/>
    <w:rsid w:val="754ED81F"/>
    <w:rsid w:val="755A2831"/>
    <w:rsid w:val="75956C2D"/>
    <w:rsid w:val="75D0B077"/>
    <w:rsid w:val="76EBF209"/>
    <w:rsid w:val="76F5EF26"/>
    <w:rsid w:val="77AA4468"/>
    <w:rsid w:val="7858069D"/>
    <w:rsid w:val="78A7FEAD"/>
    <w:rsid w:val="78F5DC8C"/>
    <w:rsid w:val="792C5A30"/>
    <w:rsid w:val="7976BBD5"/>
    <w:rsid w:val="798E7A65"/>
    <w:rsid w:val="7ACABF9C"/>
    <w:rsid w:val="7B1388C7"/>
    <w:rsid w:val="7B61883B"/>
    <w:rsid w:val="7B99C1C4"/>
    <w:rsid w:val="7E356EA3"/>
    <w:rsid w:val="7E80390F"/>
    <w:rsid w:val="7F15453E"/>
    <w:rsid w:val="7F4FB71F"/>
    <w:rsid w:val="7F537D97"/>
    <w:rsid w:val="7F572786"/>
    <w:rsid w:val="7F74C270"/>
    <w:rsid w:val="7FA79921"/>
    <w:rsid w:val="7FC6B885"/>
    <w:rsid w:val="7FF5F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89015"/>
  <w15:chartTrackingRefBased/>
  <w15:docId w15:val="{8ABCC2DB-8B79-4934-921D-610CF383E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6FD"/>
    <w:pPr>
      <w:spacing w:line="256"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36FD"/>
    <w:pPr>
      <w:spacing w:after="0" w:line="240" w:lineRule="auto"/>
    </w:pPr>
    <w:rPr>
      <w:lang w:val="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Heading1,body 2,List Paragraph1,Header bold,heading 7,List Paragraph11,bullets,Arial,Normal bullet 2,List Paragraph2,Forth level,Medium Grid 1 - Accent 21,Lettre d'introduction,List Paragraph111,lp1,Heading x1,Lista 1,lp11,List1,Bullet"/>
    <w:basedOn w:val="Normal"/>
    <w:link w:val="ListParagraphChar"/>
    <w:uiPriority w:val="34"/>
    <w:qFormat/>
    <w:rsid w:val="00A908DB"/>
    <w:pPr>
      <w:ind w:left="720"/>
      <w:contextualSpacing/>
    </w:pPr>
  </w:style>
  <w:style w:type="paragraph" w:styleId="BalloonText">
    <w:name w:val="Balloon Text"/>
    <w:basedOn w:val="Normal"/>
    <w:link w:val="BalloonTextChar"/>
    <w:uiPriority w:val="99"/>
    <w:semiHidden/>
    <w:unhideWhenUsed/>
    <w:rsid w:val="008B2D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D2B"/>
    <w:rPr>
      <w:rFonts w:ascii="Segoe UI" w:hAnsi="Segoe UI" w:cs="Segoe UI"/>
      <w:sz w:val="18"/>
      <w:szCs w:val="18"/>
      <w:lang w:val="ro-RO"/>
    </w:rPr>
  </w:style>
  <w:style w:type="character" w:customStyle="1" w:styleId="ListParagraphChar">
    <w:name w:val="List Paragraph Char"/>
    <w:aliases w:val="Heading1 Char,body 2 Char,List Paragraph1 Char,Header bold Char,heading 7 Char,List Paragraph11 Char,bullets Char,Arial Char,Normal bullet 2 Char,List Paragraph2 Char,Forth level Char,Medium Grid 1 - Accent 21 Char,lp1 Char,lp11 Char"/>
    <w:basedOn w:val="DefaultParagraphFont"/>
    <w:link w:val="ListParagraph"/>
    <w:uiPriority w:val="34"/>
    <w:qFormat/>
    <w:rsid w:val="009A0FE8"/>
    <w:rPr>
      <w:lang w:val="ro-RO"/>
    </w:rPr>
  </w:style>
  <w:style w:type="character" w:styleId="CommentReference">
    <w:name w:val="annotation reference"/>
    <w:basedOn w:val="DefaultParagraphFont"/>
    <w:uiPriority w:val="99"/>
    <w:semiHidden/>
    <w:unhideWhenUsed/>
    <w:rsid w:val="00B85394"/>
    <w:rPr>
      <w:sz w:val="16"/>
      <w:szCs w:val="16"/>
    </w:rPr>
  </w:style>
  <w:style w:type="paragraph" w:styleId="CommentText">
    <w:name w:val="annotation text"/>
    <w:basedOn w:val="Normal"/>
    <w:link w:val="CommentTextChar"/>
    <w:uiPriority w:val="99"/>
    <w:semiHidden/>
    <w:unhideWhenUsed/>
    <w:rsid w:val="00B85394"/>
    <w:pPr>
      <w:spacing w:line="240" w:lineRule="auto"/>
    </w:pPr>
    <w:rPr>
      <w:sz w:val="20"/>
      <w:szCs w:val="20"/>
    </w:rPr>
  </w:style>
  <w:style w:type="character" w:customStyle="1" w:styleId="CommentTextChar">
    <w:name w:val="Comment Text Char"/>
    <w:basedOn w:val="DefaultParagraphFont"/>
    <w:link w:val="CommentText"/>
    <w:uiPriority w:val="99"/>
    <w:semiHidden/>
    <w:rsid w:val="00B85394"/>
    <w:rPr>
      <w:sz w:val="20"/>
      <w:szCs w:val="20"/>
      <w:lang w:val="ro-RO"/>
    </w:rPr>
  </w:style>
  <w:style w:type="paragraph" w:styleId="CommentSubject">
    <w:name w:val="annotation subject"/>
    <w:basedOn w:val="CommentText"/>
    <w:next w:val="CommentText"/>
    <w:link w:val="CommentSubjectChar"/>
    <w:uiPriority w:val="99"/>
    <w:semiHidden/>
    <w:unhideWhenUsed/>
    <w:rsid w:val="00B85394"/>
    <w:rPr>
      <w:b/>
      <w:bCs/>
    </w:rPr>
  </w:style>
  <w:style w:type="character" w:customStyle="1" w:styleId="CommentSubjectChar">
    <w:name w:val="Comment Subject Char"/>
    <w:basedOn w:val="CommentTextChar"/>
    <w:link w:val="CommentSubject"/>
    <w:uiPriority w:val="99"/>
    <w:semiHidden/>
    <w:rsid w:val="00B85394"/>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82195">
      <w:bodyDiv w:val="1"/>
      <w:marLeft w:val="0"/>
      <w:marRight w:val="0"/>
      <w:marTop w:val="0"/>
      <w:marBottom w:val="0"/>
      <w:divBdr>
        <w:top w:val="none" w:sz="0" w:space="0" w:color="auto"/>
        <w:left w:val="none" w:sz="0" w:space="0" w:color="auto"/>
        <w:bottom w:val="none" w:sz="0" w:space="0" w:color="auto"/>
        <w:right w:val="none" w:sz="0" w:space="0" w:color="auto"/>
      </w:divBdr>
    </w:div>
    <w:div w:id="1511530022">
      <w:bodyDiv w:val="1"/>
      <w:marLeft w:val="0"/>
      <w:marRight w:val="0"/>
      <w:marTop w:val="0"/>
      <w:marBottom w:val="0"/>
      <w:divBdr>
        <w:top w:val="none" w:sz="0" w:space="0" w:color="auto"/>
        <w:left w:val="none" w:sz="0" w:space="0" w:color="auto"/>
        <w:bottom w:val="none" w:sz="0" w:space="0" w:color="auto"/>
        <w:right w:val="none" w:sz="0" w:space="0" w:color="auto"/>
      </w:divBdr>
    </w:div>
    <w:div w:id="1755741897">
      <w:bodyDiv w:val="1"/>
      <w:marLeft w:val="0"/>
      <w:marRight w:val="0"/>
      <w:marTop w:val="0"/>
      <w:marBottom w:val="0"/>
      <w:divBdr>
        <w:top w:val="none" w:sz="0" w:space="0" w:color="auto"/>
        <w:left w:val="none" w:sz="0" w:space="0" w:color="auto"/>
        <w:bottom w:val="none" w:sz="0" w:space="0" w:color="auto"/>
        <w:right w:val="none" w:sz="0" w:space="0" w:color="auto"/>
      </w:divBdr>
    </w:div>
    <w:div w:id="1843011893">
      <w:bodyDiv w:val="1"/>
      <w:marLeft w:val="0"/>
      <w:marRight w:val="0"/>
      <w:marTop w:val="0"/>
      <w:marBottom w:val="0"/>
      <w:divBdr>
        <w:top w:val="none" w:sz="0" w:space="0" w:color="auto"/>
        <w:left w:val="none" w:sz="0" w:space="0" w:color="auto"/>
        <w:bottom w:val="none" w:sz="0" w:space="0" w:color="auto"/>
        <w:right w:val="none" w:sz="0" w:space="0" w:color="auto"/>
      </w:divBdr>
    </w:div>
    <w:div w:id="188012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039B813EF8D646A88F5C67DC5E7CF3" ma:contentTypeVersion="15" ma:contentTypeDescription="Create a new document." ma:contentTypeScope="" ma:versionID="fe4e9f00d4b82b43cca79470631abf84">
  <xsd:schema xmlns:xsd="http://www.w3.org/2001/XMLSchema" xmlns:xs="http://www.w3.org/2001/XMLSchema" xmlns:p="http://schemas.microsoft.com/office/2006/metadata/properties" xmlns:ns2="dc683cc3-f2cb-494e-bd05-0a3ecc4d3450" xmlns:ns3="277359d3-81d3-4454-8492-8e5289c31b38" targetNamespace="http://schemas.microsoft.com/office/2006/metadata/properties" ma:root="true" ma:fieldsID="abed3aa483a08bf021637ceb0f74ff00" ns2:_="" ns3:_="">
    <xsd:import namespace="dc683cc3-f2cb-494e-bd05-0a3ecc4d3450"/>
    <xsd:import namespace="277359d3-81d3-4454-8492-8e5289c31b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683cc3-f2cb-494e-bd05-0a3ecc4d34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9e6c7e4-3866-47f6-a8f9-1f11433ee6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77359d3-81d3-4454-8492-8e5289c31b3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577220a-1ca8-4f57-b5de-0e9a92c713bb}" ma:internalName="TaxCatchAll" ma:showField="CatchAllData" ma:web="277359d3-81d3-4454-8492-8e5289c31b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c683cc3-f2cb-494e-bd05-0a3ecc4d3450">
      <Terms xmlns="http://schemas.microsoft.com/office/infopath/2007/PartnerControls"/>
    </lcf76f155ced4ddcb4097134ff3c332f>
    <TaxCatchAll xmlns="277359d3-81d3-4454-8492-8e5289c31b38" xsi:nil="true"/>
    <SharedWithUsers xmlns="277359d3-81d3-4454-8492-8e5289c31b38">
      <UserInfo>
        <DisplayName>Daniela Radulescu</DisplayName>
        <AccountId>14</AccountId>
        <AccountType/>
      </UserInfo>
      <UserInfo>
        <DisplayName>Patricia Tudor</DisplayName>
        <AccountId>53</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FA06CA-600B-461D-A5E0-4039C37C1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683cc3-f2cb-494e-bd05-0a3ecc4d3450"/>
    <ds:schemaRef ds:uri="277359d3-81d3-4454-8492-8e5289c31b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994588-8E52-4271-A2D3-DF3FC845C1BF}">
  <ds:schemaRefs>
    <ds:schemaRef ds:uri="http://schemas.microsoft.com/office/2006/metadata/properties"/>
    <ds:schemaRef ds:uri="http://schemas.microsoft.com/office/infopath/2007/PartnerControls"/>
    <ds:schemaRef ds:uri="dc683cc3-f2cb-494e-bd05-0a3ecc4d3450"/>
    <ds:schemaRef ds:uri="277359d3-81d3-4454-8492-8e5289c31b38"/>
  </ds:schemaRefs>
</ds:datastoreItem>
</file>

<file path=customXml/itemProps3.xml><?xml version="1.0" encoding="utf-8"?>
<ds:datastoreItem xmlns:ds="http://schemas.openxmlformats.org/officeDocument/2006/customXml" ds:itemID="{0E2A1A11-D547-4203-B249-E1421DD5B7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1636</Words>
  <Characters>9330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Radulescu</dc:creator>
  <cp:keywords/>
  <dc:description/>
  <cp:lastModifiedBy>Razvan Pascu</cp:lastModifiedBy>
  <cp:revision>6</cp:revision>
  <cp:lastPrinted>2022-12-20T07:58:00Z</cp:lastPrinted>
  <dcterms:created xsi:type="dcterms:W3CDTF">2023-01-12T11:34:00Z</dcterms:created>
  <dcterms:modified xsi:type="dcterms:W3CDTF">2023-01-25T09:07:00Z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0x01010073039B813EF8D646A88F5C67DC5E7CF3</vt:lpwstr>
  </property>
  <property fmtid="{D5CDD505-2E9C-101B-9397-08002B2CF9AE}" pid="3" name="MediaServiceImageTags">
    <vt:lpwstr/>
  </property>
</Properties>
</file>