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7F0E" w14:textId="69405BF5" w:rsidR="004E5D11" w:rsidRPr="008E7C34" w:rsidRDefault="00050C99" w:rsidP="00165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7C34">
        <w:rPr>
          <w:rFonts w:ascii="Times New Roman" w:hAnsi="Times New Roman" w:cs="Times New Roman"/>
          <w:b/>
          <w:sz w:val="24"/>
          <w:szCs w:val="24"/>
          <w:lang w:val="ro-RO"/>
        </w:rPr>
        <w:t>EXPUNERE DE MOTIVE</w:t>
      </w:r>
    </w:p>
    <w:p w14:paraId="1E1DC0BF" w14:textId="76782A76" w:rsidR="00A53DAA" w:rsidRPr="008E7C34" w:rsidRDefault="00A53DAA" w:rsidP="00165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B01F137" w14:textId="77777777" w:rsidR="00A53DAA" w:rsidRPr="008E7C34" w:rsidRDefault="00A53DAA" w:rsidP="00165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71"/>
        <w:gridCol w:w="1373"/>
        <w:gridCol w:w="284"/>
        <w:gridCol w:w="877"/>
        <w:gridCol w:w="598"/>
        <w:gridCol w:w="578"/>
        <w:gridCol w:w="539"/>
        <w:gridCol w:w="505"/>
        <w:gridCol w:w="2035"/>
      </w:tblGrid>
      <w:tr w:rsidR="00B62FB0" w:rsidRPr="00B62FB0" w14:paraId="3018E587" w14:textId="77777777" w:rsidTr="00B81617">
        <w:tc>
          <w:tcPr>
            <w:tcW w:w="10060" w:type="dxa"/>
            <w:gridSpan w:val="9"/>
          </w:tcPr>
          <w:p w14:paraId="39E1491A" w14:textId="77777777" w:rsidR="00441049" w:rsidRPr="000B56DA" w:rsidRDefault="00441049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0A6B2357" w14:textId="588322F7" w:rsidR="00C035C2" w:rsidRPr="000B56DA" w:rsidRDefault="00C035C2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5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Secţiunea 1 </w:t>
            </w:r>
          </w:p>
          <w:p w14:paraId="77C1B72C" w14:textId="77777777" w:rsidR="004C5288" w:rsidRPr="000B56DA" w:rsidRDefault="00C035C2" w:rsidP="00165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5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Tit</w:t>
            </w:r>
            <w:r w:rsidR="009060B6" w:rsidRPr="000B5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lul proiectului de act normativ:</w:t>
            </w:r>
            <w:r w:rsidR="009060B6" w:rsidRPr="000B56D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4B377F9F" w14:textId="7CD42EE4" w:rsidR="004E5D11" w:rsidRPr="00E0525F" w:rsidRDefault="00E86FB0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Lege pentru modificarea și completarea Legii nr. 278/2013 privind emisiile industriale</w:t>
            </w:r>
          </w:p>
          <w:p w14:paraId="2B27C763" w14:textId="77777777" w:rsidR="00C035C2" w:rsidRPr="000B56DA" w:rsidRDefault="00C035C2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62FB0" w:rsidRPr="00B62FB0" w14:paraId="27F30616" w14:textId="77777777" w:rsidTr="00B81617">
        <w:tc>
          <w:tcPr>
            <w:tcW w:w="10060" w:type="dxa"/>
            <w:gridSpan w:val="9"/>
          </w:tcPr>
          <w:p w14:paraId="31A66BD2" w14:textId="77777777" w:rsidR="00441049" w:rsidRPr="004E5EAE" w:rsidRDefault="00441049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462A273C" w14:textId="657E1988" w:rsidR="007C5A1B" w:rsidRPr="004E5EAE" w:rsidRDefault="00C035C2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5E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Secţiunea a 2-a </w:t>
            </w:r>
          </w:p>
          <w:p w14:paraId="5A3015AB" w14:textId="77777777" w:rsidR="004E5D11" w:rsidRPr="004E5EAE" w:rsidRDefault="00C035C2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E5E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Motivul emiterii actului normativ </w:t>
            </w:r>
          </w:p>
          <w:p w14:paraId="01BC180B" w14:textId="77777777" w:rsidR="007C5A1B" w:rsidRPr="004E5EAE" w:rsidRDefault="007C5A1B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62FB0" w:rsidRPr="00B62FB0" w14:paraId="2DBF2FA2" w14:textId="77777777" w:rsidTr="00B81617">
        <w:trPr>
          <w:trHeight w:val="4410"/>
        </w:trPr>
        <w:tc>
          <w:tcPr>
            <w:tcW w:w="4644" w:type="dxa"/>
            <w:gridSpan w:val="2"/>
          </w:tcPr>
          <w:p w14:paraId="313D344A" w14:textId="77777777" w:rsidR="00E65F0B" w:rsidRPr="008E7C34" w:rsidRDefault="00E65F0B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B42727E" w14:textId="7C24EA31" w:rsidR="00A564D2" w:rsidRPr="008E7C34" w:rsidRDefault="00A6046E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Descrierea situaţiei actuale </w:t>
            </w:r>
          </w:p>
          <w:p w14:paraId="6F2F3BDD" w14:textId="77777777" w:rsidR="00A564D2" w:rsidRPr="008E7C34" w:rsidRDefault="00A564D2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218834D" w14:textId="77777777" w:rsidR="009D2515" w:rsidRPr="008E7C34" w:rsidRDefault="009D2515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171D7C0" w14:textId="77777777" w:rsidR="009D2515" w:rsidRPr="008E7C34" w:rsidRDefault="009D2515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76E8BC4" w14:textId="77777777" w:rsidR="009D2515" w:rsidRPr="008E7C34" w:rsidRDefault="009D2515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6F48C5B" w14:textId="77777777" w:rsidR="009D2515" w:rsidRPr="008E7C34" w:rsidRDefault="009D2515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EB94193" w14:textId="77777777" w:rsidR="00A564D2" w:rsidRPr="008E7C34" w:rsidRDefault="00A564D2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4159180" w14:textId="77777777" w:rsidR="00C11943" w:rsidRPr="008E7C34" w:rsidRDefault="00C11943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A7BA0F5" w14:textId="77777777" w:rsidR="00C11943" w:rsidRPr="008E7C34" w:rsidRDefault="00C11943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3DABF75" w14:textId="77777777" w:rsidR="00C11943" w:rsidRPr="008E7C34" w:rsidRDefault="00C11943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9EFA6EB" w14:textId="77777777" w:rsidR="00C11943" w:rsidRPr="008E7C34" w:rsidRDefault="00C11943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9E38725" w14:textId="77777777" w:rsidR="00C11943" w:rsidRPr="008E7C34" w:rsidRDefault="00C11943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8C4875C" w14:textId="77777777" w:rsidR="00C11943" w:rsidRPr="008E7C34" w:rsidRDefault="00C11943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BB05F55" w14:textId="77777777" w:rsidR="00C11943" w:rsidRPr="008E7C34" w:rsidRDefault="00C11943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16" w:type="dxa"/>
            <w:gridSpan w:val="7"/>
          </w:tcPr>
          <w:p w14:paraId="57027DB2" w14:textId="28B0C78F" w:rsidR="001C5C15" w:rsidRPr="008E7C34" w:rsidRDefault="001C5C15" w:rsidP="001651B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o-RO"/>
              </w:rPr>
            </w:pPr>
            <w:r w:rsidRPr="008E7C34">
              <w:rPr>
                <w:lang w:val="ro-RO"/>
              </w:rPr>
              <w:t>În prezent, la nivelul Uniunii Europene, cadrul legal pentru domeniul privind emisiile industriale este asigurat de Directiva 2010/75/UE a Parlamentului European și a Consiliului din 24 noiembrie 2010 privind emisiile industriale (prevenirea şi controlul integrat al poluării) (reformare)</w:t>
            </w:r>
            <w:r w:rsidR="004E5EAE">
              <w:rPr>
                <w:lang w:val="ro-RO"/>
              </w:rPr>
              <w:t xml:space="preserve">, </w:t>
            </w:r>
            <w:r w:rsidR="004E5EAE" w:rsidRPr="008E7C34">
              <w:rPr>
                <w:lang w:val="ro-RO"/>
              </w:rPr>
              <w:t>publicată în Jurnalul Oficial al Uniunii Europene (JOUE) seria L nr. 334 din 17 decembrie 2010</w:t>
            </w:r>
            <w:r w:rsidRPr="008E7C34">
              <w:rPr>
                <w:lang w:val="ro-RO"/>
              </w:rPr>
              <w:t>. Această reglementare a Uniunii Europene este rezultatul reunirii prin procedeul de reformare a şapte directive într-una singură.</w:t>
            </w:r>
          </w:p>
          <w:p w14:paraId="44D27156" w14:textId="77777777" w:rsidR="0097611D" w:rsidRPr="008E7C34" w:rsidRDefault="0097611D" w:rsidP="001651B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o-RO"/>
              </w:rPr>
            </w:pPr>
          </w:p>
          <w:p w14:paraId="5B8C3AF8" w14:textId="6FC9CC59" w:rsidR="00F76C97" w:rsidRPr="008E7C34" w:rsidRDefault="001C5C15" w:rsidP="004D0DC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o-RO"/>
              </w:rPr>
            </w:pPr>
            <w:r w:rsidRPr="008E7C34">
              <w:rPr>
                <w:lang w:val="ro-RO"/>
              </w:rPr>
              <w:t xml:space="preserve">La nivel </w:t>
            </w:r>
            <w:r w:rsidR="005540BC" w:rsidRPr="008E7C34">
              <w:rPr>
                <w:lang w:val="ro-RO"/>
              </w:rPr>
              <w:t xml:space="preserve">național </w:t>
            </w:r>
            <w:r w:rsidRPr="008E7C34">
              <w:rPr>
                <w:lang w:val="ro-RO"/>
              </w:rPr>
              <w:t xml:space="preserve">Directiva 2010/75/UE, </w:t>
            </w:r>
            <w:r w:rsidR="005540BC" w:rsidRPr="008E7C34">
              <w:rPr>
                <w:lang w:val="ro-RO"/>
              </w:rPr>
              <w:t>de</w:t>
            </w:r>
            <w:r w:rsidRPr="008E7C34">
              <w:rPr>
                <w:lang w:val="ro-RO"/>
              </w:rPr>
              <w:t>numită în continuare IED, a fost transpusă prin Legea nr. 278/2013 privind emisiile industriale</w:t>
            </w:r>
            <w:r w:rsidR="000655D0" w:rsidRPr="008E7C34">
              <w:rPr>
                <w:lang w:val="ro-RO"/>
              </w:rPr>
              <w:t xml:space="preserve">, </w:t>
            </w:r>
            <w:r w:rsidR="00B62FB0">
              <w:rPr>
                <w:lang w:val="ro-RO"/>
              </w:rPr>
              <w:t>cu modificările și completările ulterioare</w:t>
            </w:r>
            <w:r w:rsidR="0097611D" w:rsidRPr="008E7C34">
              <w:rPr>
                <w:lang w:val="ro-RO"/>
              </w:rPr>
              <w:t>.</w:t>
            </w:r>
          </w:p>
        </w:tc>
      </w:tr>
      <w:tr w:rsidR="00B62FB0" w:rsidRPr="00B62FB0" w14:paraId="5A08EF62" w14:textId="77777777" w:rsidTr="00B81617">
        <w:tc>
          <w:tcPr>
            <w:tcW w:w="4644" w:type="dxa"/>
            <w:gridSpan w:val="2"/>
          </w:tcPr>
          <w:p w14:paraId="1CB71907" w14:textId="2BB16DBE" w:rsidR="00F765F3" w:rsidRPr="008E7C34" w:rsidRDefault="00F765F3" w:rsidP="00165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1^1. În cazul proiectelor de acte no</w:t>
            </w:r>
            <w:r w:rsidR="005D0BF0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rmative care transpun legislația 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comunitară sau creează cadrul pentru aplicarea directă a acesteia, se vor specifica doar actele comunitare în cauză, însoţite de elementele de identificare ale acestora.</w:t>
            </w:r>
          </w:p>
        </w:tc>
        <w:tc>
          <w:tcPr>
            <w:tcW w:w="5416" w:type="dxa"/>
            <w:gridSpan w:val="7"/>
          </w:tcPr>
          <w:p w14:paraId="387E926F" w14:textId="38028C19" w:rsidR="004E5EAE" w:rsidRDefault="000B56D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Modificarea Legii nr. 278/2013 privind emisiile industriale este </w:t>
            </w:r>
            <w:r w:rsidR="004E5E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determinată </w:t>
            </w:r>
            <w:r w:rsidR="00B237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="004E5E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necesit</w:t>
            </w:r>
            <w:r w:rsidR="00B237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atea</w:t>
            </w:r>
            <w:r w:rsidR="004E5E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îmbunătățirii transpunerii, aspect semnalat </w:t>
            </w:r>
            <w:r w:rsidR="00D244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4E5E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scrisoarea de punere în întârziere a Comisiei Europene, transmisă autorităților române în data de 18 februarie a.c.</w:t>
            </w:r>
            <w:r w:rsidR="00B237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cauza 2020/4141</w:t>
            </w:r>
            <w:r w:rsidR="004E5E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6F2410F3" w14:textId="36AA6D54" w:rsidR="004E5EAE" w:rsidRDefault="004E5EAE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Comisia semnalează că forma transpu</w:t>
            </w:r>
            <w:r w:rsidR="00D244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a articolului 79 din Directiva 2010/75/UE nu asigură condițiile privind un regim sancționator eficient, proporțional și cu efect de descurajare</w:t>
            </w:r>
            <w:r w:rsidR="00B237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conduce la o aplicare necorespunzătoare a prevederilor directivei.</w:t>
            </w:r>
          </w:p>
          <w:p w14:paraId="3747D6D1" w14:textId="668CD3BC" w:rsidR="00F765F3" w:rsidRPr="00B237B6" w:rsidRDefault="00F765F3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62FB0" w:rsidRPr="00B62FB0" w14:paraId="2AD01688" w14:textId="77777777" w:rsidTr="00B81617">
        <w:trPr>
          <w:trHeight w:val="1408"/>
        </w:trPr>
        <w:tc>
          <w:tcPr>
            <w:tcW w:w="4644" w:type="dxa"/>
            <w:gridSpan w:val="2"/>
          </w:tcPr>
          <w:p w14:paraId="2746D191" w14:textId="77777777" w:rsidR="00A6046E" w:rsidRPr="00B237B6" w:rsidRDefault="00A6046E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37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Schimbări preconizate </w:t>
            </w:r>
          </w:p>
          <w:p w14:paraId="62E26BA2" w14:textId="77777777" w:rsidR="001949E5" w:rsidRPr="00B237B6" w:rsidRDefault="001949E5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16" w:type="dxa"/>
            <w:gridSpan w:val="7"/>
          </w:tcPr>
          <w:p w14:paraId="5F91A5BB" w14:textId="6873E631" w:rsidR="00DC460F" w:rsidRPr="00B237B6" w:rsidRDefault="00484F9A" w:rsidP="004C5288">
            <w:pPr>
              <w:pStyle w:val="ListParagraph"/>
              <w:tabs>
                <w:tab w:val="left" w:pos="5160"/>
              </w:tabs>
              <w:spacing w:before="0" w:after="0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Proiectul de lege are drept scop </w:t>
            </w:r>
            <w:r w:rsidR="0097611D"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modificarea</w:t>
            </w:r>
            <w:r w:rsidR="00DC460F"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și completarea </w:t>
            </w:r>
            <w:r w:rsidR="0097611D"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unor prevederi ale legislației aferente acestui domeniu, </w:t>
            </w:r>
            <w:r w:rsidR="008B2708"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respectiv a Legii nr. 278/2013</w:t>
            </w:r>
            <w:r w:rsidR="00B62F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8B2708"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cu modificările și completările ulterioare, </w:t>
            </w:r>
            <w:r w:rsidR="0097611D"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ca urmare a declanșării de către Comisia </w:t>
            </w:r>
            <w:r w:rsidR="002205DA"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Europeană </w:t>
            </w:r>
            <w:r w:rsidR="00DC460F"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 acțiunii în constatarea unor obligații ce revin României în ceea ce privește punerea în aplicare și </w:t>
            </w:r>
            <w:r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transpunerea </w:t>
            </w:r>
            <w:r w:rsidR="005C5581"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î</w:t>
            </w:r>
            <w:r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 legisla</w:t>
            </w:r>
            <w:r w:rsidR="005C5581"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ț</w:t>
            </w:r>
            <w:r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ia na</w:t>
            </w:r>
            <w:r w:rsidR="005C5581"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ț</w:t>
            </w:r>
            <w:r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ional</w:t>
            </w:r>
            <w:r w:rsidR="005C5581"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ă</w:t>
            </w:r>
            <w:r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prevederilor Directivei </w:t>
            </w:r>
            <w:r w:rsidR="00DC460F"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2010/75/UE privind emisiile industriale, în legătură cu sancțiunile aplicate în România pentru aplicarea acestui act.</w:t>
            </w:r>
          </w:p>
          <w:p w14:paraId="395F5E87" w14:textId="77777777" w:rsidR="00DC460F" w:rsidRPr="00B237B6" w:rsidRDefault="00DC460F" w:rsidP="004C5288">
            <w:pPr>
              <w:pStyle w:val="ListParagraph"/>
              <w:spacing w:before="0" w:after="0"/>
              <w:ind w:left="57" w:right="17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1D799EB" w14:textId="2899E83F" w:rsidR="008B2708" w:rsidRPr="008E7C34" w:rsidRDefault="008B2708" w:rsidP="004C5288">
            <w:pPr>
              <w:pStyle w:val="ListParagraph"/>
              <w:spacing w:before="0" w:after="0"/>
              <w:ind w:left="57" w:right="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Comisia Europeană sesizează</w:t>
            </w:r>
            <w:r w:rsidR="00E62A82"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printre altele</w:t>
            </w:r>
            <w:r w:rsidR="000305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că în România, sancțiunile prevăzute pentru nerespectarea prevederilor Directivei 2010/75/UE, transpusă în l</w:t>
            </w:r>
            <w:r w:rsidR="00E62A82"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B23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gislația națională prin Legea nr. 278/2013</w:t>
            </w:r>
            <w:r w:rsidR="00B62F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cu modificările și completările ulterioare, nu îndeplinesc atât criteriile </w:t>
            </w:r>
            <w:r w:rsidR="00B816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formulate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la considerentul 26 din directivă cu privire la asigurarea punerii în aplicare și a unui control eficient, prin stabilirea de măsuri care să garanteze aplicarea corespunzătoare</w:t>
            </w:r>
            <w:r w:rsidR="000305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inclusiv în ceea ce privește sistemul de inspecții de mediu și număr</w:t>
            </w:r>
            <w:r w:rsidR="000305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corespunzător de angajați</w:t>
            </w:r>
            <w:r w:rsidR="000305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care să aibă competențe și calificări corespunzătoare, cât și criteriile de la considerentul 42 </w:t>
            </w:r>
            <w:r w:rsidR="00E62A82"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privind obligația de a stabili norme de sancționare aplicabile pentru încălcarea dispozițiilor de drept intern adoptate în temeiul Directivei 2010/75/UE, care să fie eficace, proporționale și cu efect de descurajare.</w:t>
            </w:r>
          </w:p>
          <w:p w14:paraId="4CD6552F" w14:textId="77777777" w:rsidR="004657BC" w:rsidRPr="008E7C34" w:rsidRDefault="004657BC" w:rsidP="004C5288">
            <w:pPr>
              <w:pStyle w:val="ListParagraph"/>
              <w:spacing w:before="0" w:after="0"/>
              <w:ind w:left="57" w:right="-14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B493926" w14:textId="1B4DC5F7" w:rsidR="004657BC" w:rsidRPr="008E7C34" w:rsidRDefault="004657BC" w:rsidP="004C5288">
            <w:pPr>
              <w:pStyle w:val="ListParagraph"/>
              <w:spacing w:before="0" w:after="0"/>
              <w:ind w:left="57" w:right="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Actul normativ include un articol unic</w:t>
            </w:r>
            <w:r w:rsidR="000305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care se referă la modificări și completări, după caz</w:t>
            </w:r>
            <w:r w:rsidR="00042F4A"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prevederilor art. 73:</w:t>
            </w:r>
          </w:p>
          <w:p w14:paraId="65CA5C4C" w14:textId="77777777" w:rsidR="004C5288" w:rsidRPr="00A41F1D" w:rsidRDefault="004C5288" w:rsidP="004C5288">
            <w:pPr>
              <w:pStyle w:val="ListParagraph"/>
              <w:spacing w:before="0" w:after="0"/>
              <w:ind w:left="57" w:right="32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14:paraId="19659675" w14:textId="192481F2" w:rsidR="004C5288" w:rsidRPr="008E7C34" w:rsidRDefault="004C5288" w:rsidP="004C5288">
            <w:pPr>
              <w:pStyle w:val="ListParagraph"/>
              <w:numPr>
                <w:ilvl w:val="0"/>
                <w:numId w:val="2"/>
              </w:numPr>
              <w:spacing w:before="0" w:after="0"/>
              <w:ind w:left="57" w:right="3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Modificarea alin. (1)</w:t>
            </w:r>
            <w:r w:rsidR="000305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astfel încât, pe de o parte</w:t>
            </w:r>
            <w:r w:rsidR="000305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să se majoreze cuantumul amenzilor pentru nerespectarea unor prevederi, iar pe de altă parte aplicarea sancțiunilor să </w:t>
            </w:r>
            <w:r w:rsidR="00E052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 realizeze prin</w:t>
            </w:r>
            <w:r w:rsidR="00E0525F"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deroga</w:t>
            </w:r>
            <w:r w:rsidR="00E052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la prevederile art. 8 alin. (2) din Ordonanța Guvernului nr. 2/2001 privind regimul juridic al contravenţiilor, aprobată cu modificări şi completări prin Legea nr. 180/2002, cu modificările şi completările ulterioare;</w:t>
            </w:r>
          </w:p>
          <w:p w14:paraId="6949CF8F" w14:textId="557CD6CF" w:rsidR="004C5288" w:rsidRPr="008E7C34" w:rsidRDefault="004C5288" w:rsidP="004C5288">
            <w:pPr>
              <w:pStyle w:val="ListParagraph"/>
              <w:numPr>
                <w:ilvl w:val="0"/>
                <w:numId w:val="2"/>
              </w:numPr>
              <w:spacing w:before="0" w:after="0"/>
              <w:ind w:left="57" w:right="3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Modificarea alin. (2), astfel încât, aplicarea sancțiunilor prevăzute la alin. (1) să </w:t>
            </w:r>
            <w:r w:rsidR="00E052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 realizeze prin</w:t>
            </w:r>
            <w:r w:rsidR="00E0525F"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deroga</w:t>
            </w:r>
            <w:r w:rsidR="00E052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</w:t>
            </w:r>
            <w:r w:rsidR="00E0525F"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 la prevederile art. 28 alin. (1) din Ordonanța Guvernului nr. 2/2001, aprobată cu modificări şi completări prin Legea nr. 180/2002, cu modificările şi completările ulterioare;</w:t>
            </w:r>
          </w:p>
          <w:p w14:paraId="4FAC7E9C" w14:textId="715C4BD1" w:rsidR="004C5288" w:rsidRPr="008E7C34" w:rsidRDefault="00387DDA" w:rsidP="004C5288">
            <w:pPr>
              <w:pStyle w:val="ListParagraph"/>
              <w:numPr>
                <w:ilvl w:val="0"/>
                <w:numId w:val="2"/>
              </w:numPr>
              <w:spacing w:before="0" w:after="0"/>
              <w:ind w:left="57" w:right="3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4C5288"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revederile alin. (3) se refer</w:t>
            </w:r>
            <w:r w:rsidR="00B62F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ă</w:t>
            </w:r>
            <w:r w:rsidR="004C5288"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la aplicarea sancțiunii complementare de suspendare a activității agentului economic, până la conformare, pentru nerespectarea prevederilor art. 4 alin. (1);</w:t>
            </w:r>
          </w:p>
          <w:p w14:paraId="6218490E" w14:textId="3EAAEADA" w:rsidR="00B315C7" w:rsidRPr="007E72E1" w:rsidRDefault="004C5288" w:rsidP="00B315C7">
            <w:pPr>
              <w:pStyle w:val="ListParagraph"/>
              <w:numPr>
                <w:ilvl w:val="0"/>
                <w:numId w:val="2"/>
              </w:numPr>
              <w:spacing w:before="0" w:after="0"/>
              <w:ind w:left="57" w:right="3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Modificarea alin. (5), în sensul înlăturării posibilității nepunerii în aplicare a sancțiuni</w:t>
            </w:r>
            <w:r w:rsidR="00B315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lor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315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prevăzute de </w:t>
            </w:r>
            <w:r w:rsidR="00B315C7" w:rsidRPr="007E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procesul-verbal</w:t>
            </w:r>
            <w:r w:rsidR="00B315C7" w:rsidRPr="003E5578">
              <w:rPr>
                <w:rStyle w:val="ln2talineat"/>
                <w:lang w:val="it-IT"/>
              </w:rPr>
              <w:t xml:space="preserve"> </w:t>
            </w:r>
            <w:r w:rsidR="00B315C7" w:rsidRPr="007E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de constatare și sancționare a contravențiilor, emis de comisarii şi </w:t>
            </w:r>
            <w:r w:rsidR="00B315C7" w:rsidRPr="007E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persoanele împuternicite din cadrul Gărzii Naţionale de Mediu</w:t>
            </w:r>
            <w:r w:rsidR="00B315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B315C7"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E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în urma</w:t>
            </w:r>
            <w:r w:rsidR="00B315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plângerilor operatorilor împotriva respectivelor sancțiuni. N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oua formulare va conține dispoziții privind derogarea de la dispozițiile art. 32 alin. (3) din Ordonanța Guvernului nr. 2/2001, aprobată cu modificări şi completări prin Legea nr. 180/2002, cu modificările şi completările ulterioare, </w:t>
            </w:r>
          </w:p>
          <w:p w14:paraId="41A52FE6" w14:textId="1C38F443" w:rsidR="004C5288" w:rsidRPr="008E7C34" w:rsidRDefault="004C5288" w:rsidP="004C5288">
            <w:pPr>
              <w:pStyle w:val="ListParagraph"/>
              <w:numPr>
                <w:ilvl w:val="0"/>
                <w:numId w:val="2"/>
              </w:numPr>
              <w:spacing w:before="0" w:after="0"/>
              <w:ind w:left="57" w:right="3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Suplimentar, </w:t>
            </w:r>
            <w:r w:rsidRPr="00E052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</w:t>
            </w:r>
            <w:r w:rsidR="00E052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propune</w:t>
            </w:r>
            <w:r w:rsidRPr="00E052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052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introducerea a</w:t>
            </w:r>
            <w:r w:rsidR="00E0525F" w:rsidRPr="00E052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052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patru noi alineate</w:t>
            </w:r>
            <w:r w:rsidR="00E052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E052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alin. (6) – (9), </w:t>
            </w:r>
            <w:r w:rsidR="00E052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după cum urmează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792B6BE2" w14:textId="47BCDFE8" w:rsidR="004C5288" w:rsidRPr="008E7C34" w:rsidRDefault="004C5288" w:rsidP="004C5288">
            <w:pPr>
              <w:pStyle w:val="ListParagraph"/>
              <w:numPr>
                <w:ilvl w:val="0"/>
                <w:numId w:val="2"/>
              </w:numPr>
              <w:spacing w:before="0" w:after="0"/>
              <w:ind w:left="57" w:right="3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Alineatul (6)</w:t>
            </w:r>
            <w:r w:rsidR="00974966"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care precize</w:t>
            </w:r>
            <w:r w:rsidR="00B62F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ază faptul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că</w:t>
            </w:r>
            <w:r w:rsidR="00B62F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prin derogare de la prevederile art. 7 alin. (3) din Ordonanța Guvernului nr. 2/2001, aprobată cu modificări şi completări prin Legea nr. 180/2002, cu modificările şi completările ulterioare, avertismentul ca sancțiune contravențională principală nu se aplică în cazul contravențiilor prevăzute la alin. (1)-(3).</w:t>
            </w:r>
          </w:p>
          <w:p w14:paraId="11D6BB6F" w14:textId="554CDA04" w:rsidR="004C5288" w:rsidRPr="008E7C34" w:rsidRDefault="004C5288" w:rsidP="004C5288">
            <w:pPr>
              <w:pStyle w:val="ListParagraph"/>
              <w:numPr>
                <w:ilvl w:val="0"/>
                <w:numId w:val="2"/>
              </w:numPr>
              <w:spacing w:before="0" w:after="0"/>
              <w:ind w:left="57" w:right="3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Alineatul (7) include derogarea de la prevederile art. 13 din Ordonanța Guvernului nr. 2/2001, aprobată cu modificări şi completări prin Legea nr. 180/2002, cu modificările şi completările ulterioare, referito</w:t>
            </w:r>
            <w:r w:rsidR="00B62F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r w:rsidR="00B62F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la termenul de prescripție a aplicării și executării sancțiunii contravenționale, acesta </w:t>
            </w:r>
            <w:r w:rsidR="00B62F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fiind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3 ani de la data săvârșirii faptei;</w:t>
            </w:r>
          </w:p>
          <w:p w14:paraId="75E14E63" w14:textId="4BDCEE54" w:rsidR="004C5288" w:rsidRPr="008E7C34" w:rsidRDefault="004C5288" w:rsidP="004C5288">
            <w:pPr>
              <w:pStyle w:val="ListParagraph"/>
              <w:numPr>
                <w:ilvl w:val="0"/>
                <w:numId w:val="2"/>
              </w:numPr>
              <w:spacing w:before="0" w:after="0"/>
              <w:ind w:left="57" w:right="3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Alineatul (8) se refer</w:t>
            </w:r>
            <w:r w:rsidR="00B62F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ă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la termenul de depunere a plângerilor împotriva procesului-verbal de constatare și sancționare a contravențiilor emis de comisarii şi persoanele împuternicite din cadrul Gărzii Naţionale de Mediu, care să fie depuse la tribunalul în a cărei circumscripție a fost săvârșită fapta în termen de 15 zile.</w:t>
            </w:r>
          </w:p>
          <w:p w14:paraId="5F892D97" w14:textId="526ABF48" w:rsidR="004C5288" w:rsidRPr="008E7C34" w:rsidRDefault="004C5288" w:rsidP="004C5288">
            <w:pPr>
              <w:pStyle w:val="ListParagraph"/>
              <w:numPr>
                <w:ilvl w:val="0"/>
                <w:numId w:val="2"/>
              </w:numPr>
              <w:spacing w:before="0" w:after="0"/>
              <w:ind w:left="57" w:right="3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Alineatul (9) se refer</w:t>
            </w:r>
            <w:r w:rsidR="00B62F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ă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la termenele de soluționare a </w:t>
            </w:r>
            <w:r w:rsidR="00B62FB0"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</w:t>
            </w:r>
            <w:r w:rsidR="00B62F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â</w:t>
            </w:r>
            <w:r w:rsidR="00B62FB0"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ngerilor 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 către instanțele de judecată.</w:t>
            </w:r>
          </w:p>
          <w:p w14:paraId="2CA6DCFD" w14:textId="77777777" w:rsidR="004C5288" w:rsidRPr="008E7C34" w:rsidRDefault="004C5288" w:rsidP="004C5288">
            <w:pPr>
              <w:ind w:left="57" w:right="3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878954D" w14:textId="643905CB" w:rsidR="004C5288" w:rsidRPr="008E7C34" w:rsidRDefault="004C5288" w:rsidP="004C5288">
            <w:pPr>
              <w:pStyle w:val="ListParagraph"/>
              <w:spacing w:before="0" w:after="0"/>
              <w:ind w:left="57" w:right="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Modificările propuse în scopul eficientizării sistemului sancționator, includ și </w:t>
            </w:r>
            <w:r w:rsidR="00E052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introducerea</w:t>
            </w:r>
            <w:r w:rsidR="00E0525F"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 două articole noi referitoare la încălcări ale prevederilor legale clasificate drept infracțiuni și anume: </w:t>
            </w:r>
          </w:p>
          <w:p w14:paraId="65047812" w14:textId="351670AC" w:rsidR="004C5288" w:rsidRPr="008E7C34" w:rsidRDefault="004C5288" w:rsidP="004C5288">
            <w:pPr>
              <w:pStyle w:val="ListParagraph"/>
              <w:numPr>
                <w:ilvl w:val="0"/>
                <w:numId w:val="2"/>
              </w:numPr>
              <w:spacing w:before="0" w:after="0"/>
              <w:ind w:left="57" w:right="3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Articolul 73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1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încadrează drept infracțiune</w:t>
            </w:r>
            <w:r w:rsidR="000305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care se pedepsește cu închisoare de la 6 luni la 3 an</w:t>
            </w:r>
            <w:r w:rsidR="00B62F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sau cu amendă, funcționarea fără autorizație integrată de mediu/autorizație de mediu ori continuarea activității după ce s-a dispus aplicarea sancțiunii contravenționale complementare de suspendare a activității, dacă a fost de natură să pună în pericol viața sau sănătatea umană, animală sau vegetală, operarea oricărei instalații sau </w:t>
            </w:r>
            <w:r w:rsidR="00B62FB0"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instala</w:t>
            </w:r>
            <w:r w:rsidR="00B62F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ț</w:t>
            </w:r>
            <w:r w:rsidR="00B62FB0"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ii 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de ardere, instalații de incinerare a deșeurilor sau </w:t>
            </w:r>
            <w:r w:rsidR="00B62FB0"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instala</w:t>
            </w:r>
            <w:r w:rsidR="00B62F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ț</w:t>
            </w:r>
            <w:r w:rsidR="00B62FB0"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ii 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de 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coincinerare a deșeurilor</w:t>
            </w:r>
            <w:r w:rsidR="000305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cu încălcarea prevederilor art. 4 alin. (1);</w:t>
            </w:r>
          </w:p>
          <w:p w14:paraId="777F4737" w14:textId="0FD8EEF2" w:rsidR="004C5288" w:rsidRPr="008E7C34" w:rsidRDefault="004C5288" w:rsidP="004C5288">
            <w:pPr>
              <w:pStyle w:val="ListParagraph"/>
              <w:numPr>
                <w:ilvl w:val="0"/>
                <w:numId w:val="2"/>
              </w:numPr>
              <w:spacing w:before="0" w:after="0"/>
              <w:ind w:left="57" w:right="3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Articolul 73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2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încadrează drept infrac</w:t>
            </w:r>
            <w:r w:rsidR="00BC1FA4"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ț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iune</w:t>
            </w:r>
            <w:r w:rsidR="000305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care se pedepse</w:t>
            </w:r>
            <w:r w:rsidR="00BC1FA4"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ș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 cu închisoare de la 3 luni la 1 an sau cu amendă, dacă a fost de natură să pună în pericol viața sau sănătatea umană, animală sau vegetală, operarea după aducerea de modificări substanțiale oricărei instalații sau instalaţii de ardere, instalații de incinerare a deșeurilor sau instalaţie de coincinerare a deșeurilor, fără a deține autoriza</w:t>
            </w:r>
            <w:r w:rsidR="00BC1FA4"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ț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ie integrată de mediu/autorizație de mediu care să includă și condiții de funcționare</w:t>
            </w:r>
            <w:r w:rsidR="000305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8E7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după respectivele modificări.</w:t>
            </w:r>
          </w:p>
          <w:p w14:paraId="78493055" w14:textId="3DD4E3FC" w:rsidR="004657BC" w:rsidRPr="008E7C34" w:rsidRDefault="004657BC" w:rsidP="00056150">
            <w:pPr>
              <w:pStyle w:val="ListParagraph"/>
              <w:spacing w:before="0" w:after="0"/>
              <w:ind w:left="57" w:right="-14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62FB0" w:rsidRPr="00B62FB0" w14:paraId="0018169F" w14:textId="77777777" w:rsidTr="00B81617">
        <w:tc>
          <w:tcPr>
            <w:tcW w:w="4644" w:type="dxa"/>
            <w:gridSpan w:val="2"/>
          </w:tcPr>
          <w:p w14:paraId="0BFD1762" w14:textId="77777777" w:rsidR="009D4BDD" w:rsidRPr="008E7C34" w:rsidRDefault="009D4BDD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776B205" w14:textId="77777777" w:rsidR="00A6046E" w:rsidRPr="008E7C34" w:rsidRDefault="00A6046E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informaţii </w:t>
            </w:r>
          </w:p>
          <w:p w14:paraId="6F980BC2" w14:textId="77777777" w:rsidR="001949E5" w:rsidRPr="008E7C34" w:rsidRDefault="001949E5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16" w:type="dxa"/>
            <w:gridSpan w:val="7"/>
          </w:tcPr>
          <w:p w14:paraId="400AC937" w14:textId="33DD768E" w:rsidR="00D64903" w:rsidRPr="008E7C34" w:rsidRDefault="00D64903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Implementarea necorespunzătoare a prevederilor Legii nr. 278/2013</w:t>
            </w:r>
            <w:r w:rsidR="00B62F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modificările și completările ulterioare, în cazul unor instalații de ardere, concertată și de prevederile altor acte normative, în contex</w:t>
            </w:r>
            <w:r w:rsidR="00B62F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ul </w:t>
            </w:r>
            <w:r w:rsidR="00624245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</w:t>
            </w:r>
            <w:r w:rsidR="000413E0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menționate în scrisoarea C</w:t>
            </w:r>
            <w:r w:rsidR="000413E0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omisiei Europene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dar și de aspecte </w:t>
            </w:r>
            <w:r w:rsidR="000413E0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privind eșecul executării la nivel judiciar, 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pentru care </w:t>
            </w:r>
            <w:r w:rsidR="000413E0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autoritățile de mediu nu au 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responsabilități, au determinat </w:t>
            </w:r>
            <w:r w:rsidR="000413E0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Comisia Europeană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să considere transpunerea </w:t>
            </w:r>
            <w:r w:rsidR="000305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IED 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necorespunzătoare</w:t>
            </w:r>
            <w:r w:rsidR="000413E0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0DB9D2A5" w14:textId="77777777" w:rsidR="000413E0" w:rsidRPr="008E7C34" w:rsidRDefault="000413E0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</w:p>
          <w:p w14:paraId="477C2158" w14:textId="0065A9AE" w:rsidR="001949E5" w:rsidRPr="008E7C34" w:rsidRDefault="000413E0" w:rsidP="00BC1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Prin urmare, prezentul </w:t>
            </w:r>
            <w:r w:rsidR="00A4032C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de Lege e</w:t>
            </w:r>
            <w:r w:rsidR="002C7AEF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A4032C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 justificat </w:t>
            </w:r>
            <w:r w:rsidR="002C7AEF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necesitatea asigurării un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 ca</w:t>
            </w:r>
            <w:r w:rsidR="00BC1FA4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ru legal </w:t>
            </w:r>
            <w:r w:rsidR="00624245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 să permită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C7AEF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area</w:t>
            </w:r>
            <w:r w:rsidR="002C7AEF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corespunzătoare a pre</w:t>
            </w:r>
            <w:r w:rsidR="00D64903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vederilor D</w:t>
            </w:r>
            <w:r w:rsidR="002C7AEF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irectivei 2010/75/UE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astfel încât dispozițiile art. 79 din respectiva directivă, cu privire la stabilirea unor sancțiuni eficiente, proporționale și cu efect descurajant, care să garanteze aplicarea corespunzătoare a legislației specifice domeniului</w:t>
            </w:r>
            <w:r w:rsidR="00624245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056150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</w:t>
            </w:r>
            <w:r w:rsidR="00624245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 respectate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B62FB0" w:rsidRPr="00B62FB0" w14:paraId="00ABD205" w14:textId="77777777" w:rsidTr="00B81617">
        <w:tc>
          <w:tcPr>
            <w:tcW w:w="10060" w:type="dxa"/>
            <w:gridSpan w:val="9"/>
          </w:tcPr>
          <w:p w14:paraId="0D7F212E" w14:textId="77777777" w:rsidR="00441049" w:rsidRPr="008E7C34" w:rsidRDefault="00441049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37288996" w14:textId="32B965B2" w:rsidR="00A65E3F" w:rsidRPr="008E7C34" w:rsidRDefault="00A65E3F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Secţiunea a 3-a </w:t>
            </w:r>
          </w:p>
          <w:p w14:paraId="2932FF56" w14:textId="77777777" w:rsidR="004E5D11" w:rsidRPr="008E7C34" w:rsidRDefault="00A65E3F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Impactul socio-economic al proiectului de act normativ </w:t>
            </w:r>
          </w:p>
          <w:p w14:paraId="247A3E11" w14:textId="77777777" w:rsidR="00184FE9" w:rsidRPr="008E7C34" w:rsidRDefault="00184FE9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62FB0" w:rsidRPr="00B62FB0" w14:paraId="3A7CA1D8" w14:textId="77777777" w:rsidTr="00B81617">
        <w:tc>
          <w:tcPr>
            <w:tcW w:w="4644" w:type="dxa"/>
            <w:gridSpan w:val="2"/>
          </w:tcPr>
          <w:p w14:paraId="5AA4B400" w14:textId="77777777" w:rsidR="009D4BDD" w:rsidRPr="008E7C34" w:rsidRDefault="009D4BDD" w:rsidP="001651BA">
            <w:pPr>
              <w:pStyle w:val="Header"/>
              <w:rPr>
                <w:lang w:val="ro-RO"/>
              </w:rPr>
            </w:pPr>
          </w:p>
          <w:p w14:paraId="7B9A47F4" w14:textId="77777777" w:rsidR="008662E5" w:rsidRPr="008E7C34" w:rsidRDefault="008662E5" w:rsidP="001651BA">
            <w:pPr>
              <w:pStyle w:val="Header"/>
              <w:rPr>
                <w:lang w:val="ro-RO"/>
              </w:rPr>
            </w:pPr>
            <w:r w:rsidRPr="008E7C34">
              <w:rPr>
                <w:lang w:val="ro-RO"/>
              </w:rPr>
              <w:t xml:space="preserve">1.Impact macro-economic </w:t>
            </w:r>
          </w:p>
          <w:p w14:paraId="68C74CC8" w14:textId="77777777" w:rsidR="00300DDD" w:rsidRPr="008E7C34" w:rsidRDefault="00300DDD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16" w:type="dxa"/>
            <w:gridSpan w:val="7"/>
          </w:tcPr>
          <w:p w14:paraId="40D97949" w14:textId="77777777" w:rsidR="009D4BDD" w:rsidRPr="008E7C34" w:rsidRDefault="009D4BDD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20EBD2F" w14:textId="77777777" w:rsidR="00300DDD" w:rsidRPr="008E7C34" w:rsidRDefault="00431DD1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</w:t>
            </w:r>
            <w:r w:rsidR="00C03E1C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acest subiect</w:t>
            </w:r>
          </w:p>
        </w:tc>
      </w:tr>
      <w:tr w:rsidR="00B62FB0" w:rsidRPr="00B62FB0" w14:paraId="73D2F016" w14:textId="77777777" w:rsidTr="00B81617">
        <w:tc>
          <w:tcPr>
            <w:tcW w:w="4644" w:type="dxa"/>
            <w:gridSpan w:val="2"/>
          </w:tcPr>
          <w:p w14:paraId="5A59B95A" w14:textId="77777777" w:rsidR="009D4BDD" w:rsidRPr="008E7C34" w:rsidRDefault="009D4BDD" w:rsidP="00165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F28A263" w14:textId="0D87C703" w:rsidR="00F14615" w:rsidRPr="008E7C34" w:rsidRDefault="00F14615" w:rsidP="00165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1^1. Impactul asupra mediului concurenţial şi domeniului ajutoarelor de stat.</w:t>
            </w:r>
          </w:p>
          <w:p w14:paraId="14EA9100" w14:textId="77777777" w:rsidR="00F14615" w:rsidRPr="008E7C34" w:rsidRDefault="00F14615" w:rsidP="001651BA">
            <w:pPr>
              <w:pStyle w:val="Header"/>
              <w:rPr>
                <w:lang w:val="ro-RO"/>
              </w:rPr>
            </w:pPr>
          </w:p>
        </w:tc>
        <w:tc>
          <w:tcPr>
            <w:tcW w:w="5416" w:type="dxa"/>
            <w:gridSpan w:val="7"/>
          </w:tcPr>
          <w:p w14:paraId="05C96919" w14:textId="77777777" w:rsidR="009D4BDD" w:rsidRPr="008E7C34" w:rsidRDefault="009D4BDD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D18B1F" w14:textId="77777777" w:rsidR="00F14615" w:rsidRPr="008E7C34" w:rsidRDefault="00F14615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</w:t>
            </w:r>
            <w:r w:rsidR="00C03E1C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acest subiect</w:t>
            </w:r>
          </w:p>
        </w:tc>
      </w:tr>
      <w:tr w:rsidR="00B62FB0" w:rsidRPr="00B62FB0" w14:paraId="4729C38C" w14:textId="77777777" w:rsidTr="00B81617">
        <w:tc>
          <w:tcPr>
            <w:tcW w:w="4644" w:type="dxa"/>
            <w:gridSpan w:val="2"/>
          </w:tcPr>
          <w:p w14:paraId="7E51754C" w14:textId="77777777" w:rsidR="009D4BDD" w:rsidRPr="008E7C34" w:rsidRDefault="009D4BDD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60DE7D0" w14:textId="77777777" w:rsidR="008662E5" w:rsidRPr="008E7C34" w:rsidRDefault="008662E5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2.Impact asupra mediului de afaceri </w:t>
            </w:r>
          </w:p>
          <w:p w14:paraId="2E82CC23" w14:textId="77777777" w:rsidR="00300DDD" w:rsidRPr="008E7C34" w:rsidRDefault="00300DDD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16" w:type="dxa"/>
            <w:gridSpan w:val="7"/>
          </w:tcPr>
          <w:p w14:paraId="6ADE2FAE" w14:textId="77777777" w:rsidR="009D4BDD" w:rsidRPr="008E7C34" w:rsidRDefault="009D4BDD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8D825A9" w14:textId="77777777" w:rsidR="00300DDD" w:rsidRPr="008E7C34" w:rsidRDefault="00431DD1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</w:t>
            </w:r>
            <w:r w:rsidR="00C03E1C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acest subiect</w:t>
            </w:r>
          </w:p>
        </w:tc>
      </w:tr>
      <w:tr w:rsidR="00B62FB0" w:rsidRPr="00B62FB0" w14:paraId="62FE0906" w14:textId="77777777" w:rsidTr="00B81617">
        <w:tc>
          <w:tcPr>
            <w:tcW w:w="4644" w:type="dxa"/>
            <w:gridSpan w:val="2"/>
          </w:tcPr>
          <w:p w14:paraId="283FB511" w14:textId="77777777" w:rsidR="009D4BDD" w:rsidRPr="008E7C34" w:rsidRDefault="009D4BDD" w:rsidP="00165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F121389" w14:textId="77777777" w:rsidR="00FD53B0" w:rsidRPr="008E7C34" w:rsidRDefault="00FD53B0" w:rsidP="00165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2^1. Impactul asupra sarcinilor administrative</w:t>
            </w:r>
          </w:p>
          <w:p w14:paraId="638437BF" w14:textId="77777777" w:rsidR="00FD53B0" w:rsidRPr="008E7C34" w:rsidRDefault="00FD53B0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16" w:type="dxa"/>
            <w:gridSpan w:val="7"/>
          </w:tcPr>
          <w:p w14:paraId="625B9771" w14:textId="77777777" w:rsidR="00FD53B0" w:rsidRPr="008E7C34" w:rsidRDefault="00FD53B0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Proiectul de act normativ nu se refer</w:t>
            </w:r>
            <w:r w:rsidR="00C03E1C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acest subiect</w:t>
            </w:r>
          </w:p>
          <w:p w14:paraId="6ECDA9F5" w14:textId="77777777" w:rsidR="000456BA" w:rsidRPr="008E7C34" w:rsidRDefault="000456BA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62FB0" w:rsidRPr="00B62FB0" w14:paraId="2AB79AC9" w14:textId="77777777" w:rsidTr="00B81617">
        <w:tc>
          <w:tcPr>
            <w:tcW w:w="4644" w:type="dxa"/>
            <w:gridSpan w:val="2"/>
          </w:tcPr>
          <w:p w14:paraId="46AD101C" w14:textId="77777777" w:rsidR="00FD53B0" w:rsidRPr="008E7C34" w:rsidRDefault="00FD53B0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2^2. Impactul asupra întreprinderilor mici şi mijlocii</w:t>
            </w:r>
          </w:p>
          <w:p w14:paraId="784FCF58" w14:textId="77777777" w:rsidR="00184FE9" w:rsidRPr="008E7C34" w:rsidRDefault="00184FE9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16" w:type="dxa"/>
            <w:gridSpan w:val="7"/>
          </w:tcPr>
          <w:p w14:paraId="28D2669F" w14:textId="77777777" w:rsidR="00FD53B0" w:rsidRPr="008E7C34" w:rsidRDefault="00FD53B0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</w:t>
            </w:r>
            <w:r w:rsidR="00C03E1C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acest subiect</w:t>
            </w:r>
          </w:p>
        </w:tc>
      </w:tr>
      <w:tr w:rsidR="00B62FB0" w:rsidRPr="00B62FB0" w14:paraId="45DEF1CE" w14:textId="77777777" w:rsidTr="00B81617">
        <w:tc>
          <w:tcPr>
            <w:tcW w:w="4644" w:type="dxa"/>
            <w:gridSpan w:val="2"/>
          </w:tcPr>
          <w:p w14:paraId="60B9CD43" w14:textId="77777777" w:rsidR="008662E5" w:rsidRPr="008E7C34" w:rsidRDefault="008662E5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Impact social </w:t>
            </w:r>
          </w:p>
          <w:p w14:paraId="53045EAD" w14:textId="77777777" w:rsidR="00300DDD" w:rsidRPr="008E7C34" w:rsidRDefault="00300DDD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16" w:type="dxa"/>
            <w:gridSpan w:val="7"/>
          </w:tcPr>
          <w:p w14:paraId="69B0FCCB" w14:textId="77777777" w:rsidR="00300DDD" w:rsidRPr="008E7C34" w:rsidRDefault="00431DD1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</w:t>
            </w:r>
            <w:r w:rsidR="00C03E1C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acest subiect</w:t>
            </w:r>
          </w:p>
        </w:tc>
      </w:tr>
      <w:tr w:rsidR="00B62FB0" w:rsidRPr="00B62FB0" w14:paraId="017A84D5" w14:textId="77777777" w:rsidTr="00B81617">
        <w:tc>
          <w:tcPr>
            <w:tcW w:w="4644" w:type="dxa"/>
            <w:gridSpan w:val="2"/>
          </w:tcPr>
          <w:p w14:paraId="14EF418F" w14:textId="77777777" w:rsidR="008662E5" w:rsidRPr="008E7C34" w:rsidRDefault="008662E5" w:rsidP="001651BA">
            <w:pPr>
              <w:pStyle w:val="Header"/>
              <w:rPr>
                <w:lang w:val="ro-RO"/>
              </w:rPr>
            </w:pPr>
            <w:r w:rsidRPr="008E7C34">
              <w:rPr>
                <w:lang w:val="ro-RO"/>
              </w:rPr>
              <w:t xml:space="preserve">4. Impact asupra mediului </w:t>
            </w:r>
          </w:p>
          <w:p w14:paraId="39B2B6A2" w14:textId="77777777" w:rsidR="00300DDD" w:rsidRPr="008E7C34" w:rsidRDefault="00300DDD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16" w:type="dxa"/>
            <w:gridSpan w:val="7"/>
          </w:tcPr>
          <w:p w14:paraId="18153AB9" w14:textId="2F851654" w:rsidR="00300DDD" w:rsidRPr="008E7C34" w:rsidRDefault="00F72C6E" w:rsidP="004D0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Prin </w:t>
            </w:r>
            <w:r w:rsidR="00042F4A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stabilirea unui sistem sancționator mai eficient </w:t>
            </w:r>
            <w:r w:rsidR="004351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așteaptă</w:t>
            </w:r>
            <w:r w:rsidR="00042F4A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 mai bună implementare a legislației specifice domeniului privind emisiile industriale. Prin urmare, 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de lege are un impact pozitiv </w:t>
            </w:r>
            <w:r w:rsidR="00B3517B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asupra 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mediului </w:t>
            </w:r>
            <w:r w:rsidR="00B3517B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ansamblul său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B62FB0" w:rsidRPr="00B62FB0" w14:paraId="54EAED0A" w14:textId="77777777" w:rsidTr="00B81617">
        <w:tc>
          <w:tcPr>
            <w:tcW w:w="4644" w:type="dxa"/>
            <w:gridSpan w:val="2"/>
          </w:tcPr>
          <w:p w14:paraId="544686A4" w14:textId="77777777" w:rsidR="008662E5" w:rsidRPr="008E7C34" w:rsidRDefault="008662E5" w:rsidP="001651BA">
            <w:pPr>
              <w:pStyle w:val="Header"/>
              <w:rPr>
                <w:lang w:val="ro-RO"/>
              </w:rPr>
            </w:pPr>
            <w:r w:rsidRPr="008E7C34">
              <w:rPr>
                <w:lang w:val="ro-RO"/>
              </w:rPr>
              <w:t xml:space="preserve">5. Alte informaţii </w:t>
            </w:r>
          </w:p>
          <w:p w14:paraId="30A82250" w14:textId="77777777" w:rsidR="00300DDD" w:rsidRPr="008E7C34" w:rsidRDefault="00300DDD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16" w:type="dxa"/>
            <w:gridSpan w:val="7"/>
          </w:tcPr>
          <w:p w14:paraId="3D39291C" w14:textId="1FB67121" w:rsidR="00300DDD" w:rsidRPr="008E7C34" w:rsidRDefault="00D178AB" w:rsidP="00E052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 </w:t>
            </w:r>
            <w:r w:rsidR="00E052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 fost identificate. </w:t>
            </w:r>
          </w:p>
        </w:tc>
      </w:tr>
      <w:tr w:rsidR="00B62FB0" w:rsidRPr="00B62FB0" w14:paraId="05AEB099" w14:textId="77777777" w:rsidTr="00B81617">
        <w:tc>
          <w:tcPr>
            <w:tcW w:w="10060" w:type="dxa"/>
            <w:gridSpan w:val="9"/>
          </w:tcPr>
          <w:p w14:paraId="13620729" w14:textId="77777777" w:rsidR="00441049" w:rsidRPr="008E7C34" w:rsidRDefault="00441049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394789D" w14:textId="03C40E37" w:rsidR="00AC3AD4" w:rsidRPr="008E7C34" w:rsidRDefault="00AC3AD4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Secţiunea a 4-a </w:t>
            </w:r>
          </w:p>
          <w:p w14:paraId="01E41307" w14:textId="77777777" w:rsidR="00184FE9" w:rsidRPr="008E7C34" w:rsidRDefault="00AC3AD4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Impactul financiar asupra bugetului general consolidat, atât pe termen scurt, pentru anul curent, cât şi pe termen lung (pe 5 ani)</w:t>
            </w:r>
          </w:p>
          <w:p w14:paraId="25BAADEA" w14:textId="380C0F9B" w:rsidR="004E5D11" w:rsidRPr="008E7C34" w:rsidRDefault="004E5D11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62FB0" w:rsidRPr="00B62FB0" w14:paraId="02480F2A" w14:textId="77777777" w:rsidTr="00B81617">
        <w:tc>
          <w:tcPr>
            <w:tcW w:w="10060" w:type="dxa"/>
            <w:gridSpan w:val="9"/>
          </w:tcPr>
          <w:p w14:paraId="19B985BF" w14:textId="77777777" w:rsidR="004440B7" w:rsidRPr="00B81617" w:rsidRDefault="004440B7" w:rsidP="001651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mii lei -</w:t>
            </w:r>
          </w:p>
          <w:p w14:paraId="7D4CB1A5" w14:textId="77777777" w:rsidR="004440B7" w:rsidRPr="00B81617" w:rsidRDefault="004440B7" w:rsidP="001651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62FB0" w:rsidRPr="00B62FB0" w14:paraId="3E597BA0" w14:textId="77777777" w:rsidTr="00B81617">
        <w:tc>
          <w:tcPr>
            <w:tcW w:w="3271" w:type="dxa"/>
          </w:tcPr>
          <w:p w14:paraId="217A7A6D" w14:textId="77777777" w:rsidR="00DD3F8E" w:rsidRPr="00B81617" w:rsidRDefault="00DD3F8E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Indicatori </w:t>
            </w:r>
          </w:p>
          <w:p w14:paraId="72B77BF7" w14:textId="77777777" w:rsidR="00DD3F8E" w:rsidRPr="00B81617" w:rsidRDefault="00DD3F8E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34" w:type="dxa"/>
            <w:gridSpan w:val="3"/>
          </w:tcPr>
          <w:p w14:paraId="041BB7CF" w14:textId="77777777" w:rsidR="00DD3F8E" w:rsidRPr="00B81617" w:rsidRDefault="00DD3F8E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Anul curent </w:t>
            </w:r>
          </w:p>
          <w:p w14:paraId="36672417" w14:textId="77777777" w:rsidR="00DD3F8E" w:rsidRPr="00B81617" w:rsidRDefault="00DD3F8E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20" w:type="dxa"/>
            <w:gridSpan w:val="4"/>
          </w:tcPr>
          <w:p w14:paraId="2DE0606C" w14:textId="77777777" w:rsidR="00DD3F8E" w:rsidRPr="00B81617" w:rsidRDefault="00DD3F8E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Următorii patru ani </w:t>
            </w:r>
          </w:p>
          <w:p w14:paraId="13DFCF73" w14:textId="77777777" w:rsidR="00DD3F8E" w:rsidRPr="00B81617" w:rsidRDefault="00DD3F8E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035" w:type="dxa"/>
          </w:tcPr>
          <w:p w14:paraId="0C263BCF" w14:textId="77777777" w:rsidR="00DD3F8E" w:rsidRPr="00B81617" w:rsidRDefault="00DD3F8E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Media pe cinci ani </w:t>
            </w:r>
          </w:p>
          <w:p w14:paraId="31D11D30" w14:textId="77777777" w:rsidR="00DD3F8E" w:rsidRPr="00B81617" w:rsidRDefault="00DD3F8E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62FB0" w:rsidRPr="00B62FB0" w14:paraId="0FC899AB" w14:textId="77777777" w:rsidTr="00B81617">
        <w:tc>
          <w:tcPr>
            <w:tcW w:w="3271" w:type="dxa"/>
          </w:tcPr>
          <w:p w14:paraId="09E88404" w14:textId="77777777" w:rsidR="00DD3F8E" w:rsidRPr="00B81617" w:rsidRDefault="00DD3F8E" w:rsidP="00165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2534" w:type="dxa"/>
            <w:gridSpan w:val="3"/>
          </w:tcPr>
          <w:p w14:paraId="381D4D98" w14:textId="77777777" w:rsidR="00DD3F8E" w:rsidRPr="00B81617" w:rsidRDefault="00DD3F8E" w:rsidP="00165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598" w:type="dxa"/>
          </w:tcPr>
          <w:p w14:paraId="57368647" w14:textId="77777777" w:rsidR="00DD3F8E" w:rsidRPr="00B81617" w:rsidRDefault="00DD3F8E" w:rsidP="00165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578" w:type="dxa"/>
          </w:tcPr>
          <w:p w14:paraId="61CA2543" w14:textId="77777777" w:rsidR="00DD3F8E" w:rsidRPr="00B81617" w:rsidRDefault="00DD3F8E" w:rsidP="00165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539" w:type="dxa"/>
          </w:tcPr>
          <w:p w14:paraId="23046285" w14:textId="77777777" w:rsidR="00DD3F8E" w:rsidRPr="00B81617" w:rsidRDefault="00DD3F8E" w:rsidP="00165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505" w:type="dxa"/>
          </w:tcPr>
          <w:p w14:paraId="7A44405C" w14:textId="77777777" w:rsidR="00DD3F8E" w:rsidRPr="00B81617" w:rsidRDefault="00DD3F8E" w:rsidP="00165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2035" w:type="dxa"/>
          </w:tcPr>
          <w:p w14:paraId="27660488" w14:textId="77777777" w:rsidR="00DD3F8E" w:rsidRPr="00B81617" w:rsidRDefault="00DD3F8E" w:rsidP="00165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7</w:t>
            </w:r>
          </w:p>
        </w:tc>
      </w:tr>
      <w:tr w:rsidR="00B62FB0" w:rsidRPr="00B62FB0" w14:paraId="302128A6" w14:textId="77777777" w:rsidTr="00B81617">
        <w:tc>
          <w:tcPr>
            <w:tcW w:w="3271" w:type="dxa"/>
          </w:tcPr>
          <w:p w14:paraId="1DBBFACF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Modificări ale veniturilor bugetare, plus/minus, din care: </w:t>
            </w:r>
          </w:p>
          <w:p w14:paraId="4F9187D4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a) buget de stat, din acesta: </w:t>
            </w:r>
          </w:p>
          <w:p w14:paraId="1D14A570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i. impozit pe profit </w:t>
            </w:r>
          </w:p>
          <w:p w14:paraId="3C1B6FDC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ii. impozit pe venit </w:t>
            </w:r>
          </w:p>
          <w:p w14:paraId="039F3147" w14:textId="77777777" w:rsidR="004069BA" w:rsidRPr="00B81617" w:rsidRDefault="004069BA" w:rsidP="001651BA">
            <w:pPr>
              <w:pStyle w:val="Default"/>
              <w:jc w:val="both"/>
              <w:rPr>
                <w:color w:val="auto"/>
                <w:lang w:val="ro-RO"/>
              </w:rPr>
            </w:pPr>
          </w:p>
          <w:p w14:paraId="0D3228EB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b) bugete locale </w:t>
            </w:r>
          </w:p>
          <w:p w14:paraId="585874B8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i. impozit pe profit </w:t>
            </w:r>
          </w:p>
          <w:p w14:paraId="54829D45" w14:textId="77777777" w:rsidR="004069BA" w:rsidRPr="00B81617" w:rsidRDefault="004069BA" w:rsidP="001651BA">
            <w:pPr>
              <w:pStyle w:val="Default"/>
              <w:jc w:val="both"/>
              <w:rPr>
                <w:color w:val="auto"/>
                <w:lang w:val="ro-RO"/>
              </w:rPr>
            </w:pPr>
          </w:p>
          <w:p w14:paraId="31D84585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c) bugetul asigurărilor sociale de stat: </w:t>
            </w:r>
          </w:p>
          <w:p w14:paraId="1C146916" w14:textId="428AD32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i. contribuţii de asigurări </w:t>
            </w:r>
          </w:p>
        </w:tc>
        <w:tc>
          <w:tcPr>
            <w:tcW w:w="2534" w:type="dxa"/>
            <w:gridSpan w:val="3"/>
          </w:tcPr>
          <w:p w14:paraId="56102C8F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de act normativ nu se </w:t>
            </w:r>
            <w:r w:rsidR="00B3517B"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referă </w:t>
            </w: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acest subiect</w:t>
            </w:r>
          </w:p>
        </w:tc>
        <w:tc>
          <w:tcPr>
            <w:tcW w:w="598" w:type="dxa"/>
          </w:tcPr>
          <w:p w14:paraId="458A534C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78" w:type="dxa"/>
          </w:tcPr>
          <w:p w14:paraId="66AA7348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39" w:type="dxa"/>
          </w:tcPr>
          <w:p w14:paraId="341587D8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05" w:type="dxa"/>
          </w:tcPr>
          <w:p w14:paraId="39093885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035" w:type="dxa"/>
          </w:tcPr>
          <w:p w14:paraId="31CA11FF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62FB0" w:rsidRPr="00B62FB0" w14:paraId="1DAE7F8D" w14:textId="77777777" w:rsidTr="00B81617">
        <w:tc>
          <w:tcPr>
            <w:tcW w:w="3271" w:type="dxa"/>
          </w:tcPr>
          <w:p w14:paraId="032126F3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Modificări ale cheltuielilor bugetare, plus/minus, din care: </w:t>
            </w:r>
          </w:p>
          <w:p w14:paraId="29DFE60F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a) buget de stat, din acesta: </w:t>
            </w:r>
          </w:p>
          <w:p w14:paraId="0D89A69F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i. cheltuieli de personal </w:t>
            </w:r>
          </w:p>
          <w:p w14:paraId="74C9CBB8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ii. bunuri şi servicii </w:t>
            </w:r>
          </w:p>
          <w:p w14:paraId="7C994741" w14:textId="77777777" w:rsidR="004069BA" w:rsidRPr="00B81617" w:rsidRDefault="004069BA" w:rsidP="001651BA">
            <w:pPr>
              <w:pStyle w:val="Default"/>
              <w:jc w:val="both"/>
              <w:rPr>
                <w:color w:val="auto"/>
                <w:lang w:val="ro-RO"/>
              </w:rPr>
            </w:pPr>
          </w:p>
          <w:p w14:paraId="1F4F7ABB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b) bugete locale: </w:t>
            </w:r>
          </w:p>
          <w:p w14:paraId="472423FC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i. cheltuieli de personal </w:t>
            </w:r>
          </w:p>
          <w:p w14:paraId="50856266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ii. bunuri şi servicii </w:t>
            </w:r>
          </w:p>
          <w:p w14:paraId="281CB374" w14:textId="77777777" w:rsidR="004069BA" w:rsidRPr="00B81617" w:rsidRDefault="004069BA" w:rsidP="001651BA">
            <w:pPr>
              <w:pStyle w:val="Default"/>
              <w:jc w:val="both"/>
              <w:rPr>
                <w:color w:val="auto"/>
                <w:lang w:val="ro-RO"/>
              </w:rPr>
            </w:pPr>
          </w:p>
          <w:p w14:paraId="701D3F28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c) bugetul asigurărilor sociale de stat: </w:t>
            </w:r>
          </w:p>
          <w:p w14:paraId="2D0CCF74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i. cheltuieli de personal </w:t>
            </w:r>
          </w:p>
          <w:p w14:paraId="33C38808" w14:textId="70B3F354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ii. bunuri şi servicii </w:t>
            </w:r>
          </w:p>
        </w:tc>
        <w:tc>
          <w:tcPr>
            <w:tcW w:w="2534" w:type="dxa"/>
            <w:gridSpan w:val="3"/>
          </w:tcPr>
          <w:p w14:paraId="6F467CAF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Proiectul de act normativ nu se </w:t>
            </w:r>
            <w:r w:rsidR="00B3517B"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referă </w:t>
            </w: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acest subiect</w:t>
            </w:r>
          </w:p>
        </w:tc>
        <w:tc>
          <w:tcPr>
            <w:tcW w:w="598" w:type="dxa"/>
          </w:tcPr>
          <w:p w14:paraId="7E2A4759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78" w:type="dxa"/>
          </w:tcPr>
          <w:p w14:paraId="37001240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39" w:type="dxa"/>
          </w:tcPr>
          <w:p w14:paraId="18C8F0E7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05" w:type="dxa"/>
          </w:tcPr>
          <w:p w14:paraId="6FCE849D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035" w:type="dxa"/>
          </w:tcPr>
          <w:p w14:paraId="60C26BCD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62FB0" w:rsidRPr="00B62FB0" w14:paraId="2E5AC3D1" w14:textId="77777777" w:rsidTr="00B81617">
        <w:tc>
          <w:tcPr>
            <w:tcW w:w="3271" w:type="dxa"/>
          </w:tcPr>
          <w:p w14:paraId="4A60032A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Impact financiar, plus/minus, din care: </w:t>
            </w:r>
          </w:p>
          <w:p w14:paraId="60662BE9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a) buget de stat </w:t>
            </w:r>
          </w:p>
          <w:p w14:paraId="4AAF78B0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b) bugete locale </w:t>
            </w:r>
          </w:p>
        </w:tc>
        <w:tc>
          <w:tcPr>
            <w:tcW w:w="2534" w:type="dxa"/>
            <w:gridSpan w:val="3"/>
          </w:tcPr>
          <w:p w14:paraId="48B5D91F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</w:t>
            </w:r>
            <w:r w:rsidR="001815F3"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acest subiect</w:t>
            </w:r>
          </w:p>
        </w:tc>
        <w:tc>
          <w:tcPr>
            <w:tcW w:w="598" w:type="dxa"/>
          </w:tcPr>
          <w:p w14:paraId="0357444B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78" w:type="dxa"/>
          </w:tcPr>
          <w:p w14:paraId="45E3B668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39" w:type="dxa"/>
          </w:tcPr>
          <w:p w14:paraId="4BD9805C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05" w:type="dxa"/>
          </w:tcPr>
          <w:p w14:paraId="721E1552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035" w:type="dxa"/>
          </w:tcPr>
          <w:p w14:paraId="0724EB12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62FB0" w:rsidRPr="00B62FB0" w14:paraId="59552315" w14:textId="77777777" w:rsidTr="00B81617">
        <w:tc>
          <w:tcPr>
            <w:tcW w:w="3271" w:type="dxa"/>
          </w:tcPr>
          <w:p w14:paraId="6B16FE31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 Propuneri pentru acoperirea </w:t>
            </w:r>
            <w:r w:rsidR="00C03E1C"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creșterii</w:t>
            </w: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cheltuielilor bugetare </w:t>
            </w:r>
          </w:p>
          <w:p w14:paraId="6C2292C3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34" w:type="dxa"/>
            <w:gridSpan w:val="3"/>
          </w:tcPr>
          <w:p w14:paraId="05653183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</w:t>
            </w:r>
            <w:r w:rsidR="001815F3"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acest subiect</w:t>
            </w:r>
          </w:p>
        </w:tc>
        <w:tc>
          <w:tcPr>
            <w:tcW w:w="598" w:type="dxa"/>
          </w:tcPr>
          <w:p w14:paraId="16292D02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78" w:type="dxa"/>
          </w:tcPr>
          <w:p w14:paraId="44B064F7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39" w:type="dxa"/>
          </w:tcPr>
          <w:p w14:paraId="3E1E3D42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05" w:type="dxa"/>
          </w:tcPr>
          <w:p w14:paraId="2920EB8A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035" w:type="dxa"/>
          </w:tcPr>
          <w:p w14:paraId="6EF8C973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62FB0" w:rsidRPr="00B62FB0" w14:paraId="3A2FA874" w14:textId="77777777" w:rsidTr="00B81617">
        <w:tc>
          <w:tcPr>
            <w:tcW w:w="3271" w:type="dxa"/>
          </w:tcPr>
          <w:p w14:paraId="322FC275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Propuneri pentru a compensa reducerea veniturilor bugetare </w:t>
            </w:r>
          </w:p>
          <w:p w14:paraId="6D43D692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34" w:type="dxa"/>
            <w:gridSpan w:val="3"/>
          </w:tcPr>
          <w:p w14:paraId="5E8B9799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</w:t>
            </w:r>
            <w:r w:rsidR="001815F3"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acest subiect</w:t>
            </w:r>
          </w:p>
        </w:tc>
        <w:tc>
          <w:tcPr>
            <w:tcW w:w="598" w:type="dxa"/>
          </w:tcPr>
          <w:p w14:paraId="2C43AC77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78" w:type="dxa"/>
          </w:tcPr>
          <w:p w14:paraId="3B3C0994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39" w:type="dxa"/>
          </w:tcPr>
          <w:p w14:paraId="09483D06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05" w:type="dxa"/>
          </w:tcPr>
          <w:p w14:paraId="3359C2E2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035" w:type="dxa"/>
          </w:tcPr>
          <w:p w14:paraId="15961851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62FB0" w:rsidRPr="00B62FB0" w14:paraId="5824A195" w14:textId="77777777" w:rsidTr="00B81617">
        <w:tc>
          <w:tcPr>
            <w:tcW w:w="3271" w:type="dxa"/>
          </w:tcPr>
          <w:p w14:paraId="515E397D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Calcule detaliate privind fundamentarea modificărilor veniturilor şi/sau cheltuielilor bugetare </w:t>
            </w:r>
          </w:p>
          <w:p w14:paraId="26D057F7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34" w:type="dxa"/>
            <w:gridSpan w:val="3"/>
          </w:tcPr>
          <w:p w14:paraId="21CB5342" w14:textId="77777777" w:rsidR="004069BA" w:rsidRPr="00B81617" w:rsidRDefault="004069BA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</w:t>
            </w:r>
            <w:r w:rsidR="00C03E1C"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acest subiect</w:t>
            </w:r>
          </w:p>
        </w:tc>
        <w:tc>
          <w:tcPr>
            <w:tcW w:w="598" w:type="dxa"/>
          </w:tcPr>
          <w:p w14:paraId="1045CB1E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78" w:type="dxa"/>
          </w:tcPr>
          <w:p w14:paraId="608E03F4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39" w:type="dxa"/>
          </w:tcPr>
          <w:p w14:paraId="433AA179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05" w:type="dxa"/>
          </w:tcPr>
          <w:p w14:paraId="3B518622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035" w:type="dxa"/>
          </w:tcPr>
          <w:p w14:paraId="4193A4C3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62FB0" w:rsidRPr="00B62FB0" w14:paraId="5A411F36" w14:textId="77777777" w:rsidTr="00B81617">
        <w:tc>
          <w:tcPr>
            <w:tcW w:w="10060" w:type="dxa"/>
            <w:gridSpan w:val="9"/>
          </w:tcPr>
          <w:p w14:paraId="1057BBAE" w14:textId="764B3C59" w:rsidR="004069BA" w:rsidRPr="00B81617" w:rsidRDefault="00D539A0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7. Alte informaţii: </w:t>
            </w:r>
            <w:r w:rsidR="00042F4A" w:rsidRPr="00B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au fost identificate.</w:t>
            </w:r>
          </w:p>
          <w:p w14:paraId="10C7C0EE" w14:textId="77777777" w:rsidR="004069BA" w:rsidRPr="00B81617" w:rsidRDefault="004069BA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62FB0" w:rsidRPr="00B62FB0" w14:paraId="29379CE9" w14:textId="77777777" w:rsidTr="00B81617">
        <w:tc>
          <w:tcPr>
            <w:tcW w:w="10060" w:type="dxa"/>
            <w:gridSpan w:val="9"/>
          </w:tcPr>
          <w:p w14:paraId="203DF3F0" w14:textId="77777777" w:rsidR="00441049" w:rsidRPr="008E7C34" w:rsidRDefault="00441049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0F572FAA" w14:textId="60E3DA63" w:rsidR="004069BA" w:rsidRPr="008E7C34" w:rsidRDefault="004069BA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Secţiunea a 5-a </w:t>
            </w:r>
          </w:p>
          <w:p w14:paraId="1ECC4674" w14:textId="77777777" w:rsidR="004069BA" w:rsidRPr="008E7C34" w:rsidRDefault="004069BA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Efectele proiectului de act normativ asupra legislaţiei în vigoare </w:t>
            </w:r>
          </w:p>
          <w:p w14:paraId="1DB7A4BD" w14:textId="77777777" w:rsidR="00A00C83" w:rsidRPr="008E7C34" w:rsidRDefault="00A00C83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62FB0" w:rsidRPr="00B62FB0" w14:paraId="69D49D94" w14:textId="77777777" w:rsidTr="00B81617">
        <w:tc>
          <w:tcPr>
            <w:tcW w:w="4928" w:type="dxa"/>
            <w:gridSpan w:val="3"/>
          </w:tcPr>
          <w:p w14:paraId="5E92B74F" w14:textId="77777777" w:rsidR="0017195C" w:rsidRPr="008E7C34" w:rsidRDefault="00A00C83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17195C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Măsuri normative necesare pentru aplicarea prevederilor proiectului de act normativ:</w:t>
            </w:r>
          </w:p>
          <w:p w14:paraId="3D8F2DC9" w14:textId="77777777" w:rsidR="0017195C" w:rsidRPr="008E7C34" w:rsidRDefault="0017195C" w:rsidP="001651BA">
            <w:pPr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a) acte normative în vigoare ce vor fi modificate sau abrogate, ca urmare a intrării în vigoare a proiectului de act normativ;</w:t>
            </w:r>
          </w:p>
          <w:p w14:paraId="789906F1" w14:textId="166D0DB7" w:rsidR="00184FE9" w:rsidRPr="008E7C34" w:rsidRDefault="0017195C" w:rsidP="001651BA">
            <w:pPr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b) acte normative ce urmează a fi elaborate în vederea implementării noilor dispoziţii. </w:t>
            </w:r>
          </w:p>
        </w:tc>
        <w:tc>
          <w:tcPr>
            <w:tcW w:w="5132" w:type="dxa"/>
            <w:gridSpan w:val="6"/>
          </w:tcPr>
          <w:p w14:paraId="21AC4B61" w14:textId="41BF8C8B" w:rsidR="0017195C" w:rsidRPr="008E7C34" w:rsidRDefault="00E0525F" w:rsidP="001651BA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131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B62FB0" w:rsidRPr="00B62FB0" w14:paraId="32F032E3" w14:textId="77777777" w:rsidTr="00B81617">
        <w:tc>
          <w:tcPr>
            <w:tcW w:w="4928" w:type="dxa"/>
            <w:gridSpan w:val="3"/>
          </w:tcPr>
          <w:p w14:paraId="1CAE32B3" w14:textId="77777777" w:rsidR="0004441D" w:rsidRPr="008E7C34" w:rsidRDefault="0004441D" w:rsidP="00165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1^1. Compatibilitatea proiectului de act normativ cu legislaţia în domeniul achiziţiilor publice".</w:t>
            </w:r>
          </w:p>
          <w:p w14:paraId="61DBC123" w14:textId="77777777" w:rsidR="0004441D" w:rsidRPr="008E7C34" w:rsidRDefault="0004441D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32" w:type="dxa"/>
            <w:gridSpan w:val="6"/>
          </w:tcPr>
          <w:p w14:paraId="468D39D3" w14:textId="6C7F852A" w:rsidR="0004441D" w:rsidRPr="008E7C34" w:rsidRDefault="00E0525F" w:rsidP="001651BA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131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B62FB0" w:rsidRPr="00B62FB0" w14:paraId="74B3B721" w14:textId="77777777" w:rsidTr="00B81617">
        <w:tc>
          <w:tcPr>
            <w:tcW w:w="4928" w:type="dxa"/>
            <w:gridSpan w:val="3"/>
          </w:tcPr>
          <w:p w14:paraId="43DD0322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Conformitatea proiectului de act normativ cu legislaţia comunitară în cazul proiectelor ce transpun prevederi comunitare</w:t>
            </w:r>
          </w:p>
        </w:tc>
        <w:tc>
          <w:tcPr>
            <w:tcW w:w="5132" w:type="dxa"/>
            <w:gridSpan w:val="6"/>
          </w:tcPr>
          <w:p w14:paraId="4CB91DA9" w14:textId="2CB1F02E" w:rsidR="0017195C" w:rsidRPr="008E7C34" w:rsidRDefault="00DA5FB4" w:rsidP="004D0D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17195C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rezentul proiect de lege </w:t>
            </w:r>
            <w:r w:rsidR="00042F4A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modifică și completează Legea nr. 278/2013 care transpune în legislația națională prevederile Directivei 2010/75/UE privind emisiile industriale</w:t>
            </w:r>
            <w:r w:rsidR="00CE55F7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</w:tr>
      <w:tr w:rsidR="00B62FB0" w:rsidRPr="00B62FB0" w14:paraId="66F5260A" w14:textId="77777777" w:rsidTr="00B81617">
        <w:tc>
          <w:tcPr>
            <w:tcW w:w="4928" w:type="dxa"/>
            <w:gridSpan w:val="3"/>
          </w:tcPr>
          <w:p w14:paraId="2D856BEB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Măsuri normative necesare aplicării directe a actelor normative comunitare</w:t>
            </w:r>
          </w:p>
          <w:p w14:paraId="7289E4D1" w14:textId="77777777" w:rsidR="00184FE9" w:rsidRPr="008E7C34" w:rsidRDefault="00184FE9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132" w:type="dxa"/>
            <w:gridSpan w:val="6"/>
          </w:tcPr>
          <w:p w14:paraId="2F1C2CF3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</w:t>
            </w:r>
            <w:r w:rsidR="001815F3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acest subiect</w:t>
            </w:r>
          </w:p>
        </w:tc>
      </w:tr>
      <w:tr w:rsidR="00B62FB0" w:rsidRPr="00B62FB0" w14:paraId="3B74F4C8" w14:textId="77777777" w:rsidTr="00B81617">
        <w:tc>
          <w:tcPr>
            <w:tcW w:w="4928" w:type="dxa"/>
            <w:gridSpan w:val="3"/>
          </w:tcPr>
          <w:p w14:paraId="65C13D93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 </w:t>
            </w:r>
            <w:r w:rsidR="00BA4F39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Hotărâri ale Curţii de Justiţie a Uniunii Europene</w:t>
            </w:r>
          </w:p>
          <w:p w14:paraId="4164187A" w14:textId="77777777" w:rsidR="00184FE9" w:rsidRPr="008E7C34" w:rsidRDefault="00184FE9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132" w:type="dxa"/>
            <w:gridSpan w:val="6"/>
          </w:tcPr>
          <w:p w14:paraId="380BE5A0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</w:t>
            </w:r>
            <w:r w:rsidR="001815F3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acest subiect</w:t>
            </w:r>
          </w:p>
        </w:tc>
      </w:tr>
      <w:tr w:rsidR="00B62FB0" w:rsidRPr="00B62FB0" w14:paraId="6A8705A5" w14:textId="77777777" w:rsidTr="00B81617">
        <w:trPr>
          <w:trHeight w:val="1020"/>
        </w:trPr>
        <w:tc>
          <w:tcPr>
            <w:tcW w:w="4928" w:type="dxa"/>
            <w:gridSpan w:val="3"/>
          </w:tcPr>
          <w:p w14:paraId="10DF6557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Alte acte normative şi sau documente internaţionale din care decurg angajamente </w:t>
            </w:r>
          </w:p>
          <w:p w14:paraId="653F756C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132" w:type="dxa"/>
            <w:gridSpan w:val="6"/>
          </w:tcPr>
          <w:p w14:paraId="4E88A0A0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</w:t>
            </w:r>
            <w:r w:rsidR="001815F3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acest subiect</w:t>
            </w:r>
          </w:p>
        </w:tc>
      </w:tr>
      <w:tr w:rsidR="00B62FB0" w:rsidRPr="00B62FB0" w14:paraId="2350676F" w14:textId="77777777" w:rsidTr="00B81617">
        <w:tc>
          <w:tcPr>
            <w:tcW w:w="4928" w:type="dxa"/>
            <w:gridSpan w:val="3"/>
          </w:tcPr>
          <w:p w14:paraId="58F07DE1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Alte informaţii </w:t>
            </w:r>
          </w:p>
          <w:p w14:paraId="1D1A1302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132" w:type="dxa"/>
            <w:gridSpan w:val="6"/>
            <w:tcBorders>
              <w:bottom w:val="single" w:sz="4" w:space="0" w:color="auto"/>
            </w:tcBorders>
          </w:tcPr>
          <w:p w14:paraId="0C57E748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Nu au fost identificate</w:t>
            </w:r>
          </w:p>
        </w:tc>
      </w:tr>
      <w:tr w:rsidR="00B62FB0" w:rsidRPr="00B62FB0" w14:paraId="7A45730C" w14:textId="77777777" w:rsidTr="00B81617">
        <w:tc>
          <w:tcPr>
            <w:tcW w:w="10060" w:type="dxa"/>
            <w:gridSpan w:val="9"/>
          </w:tcPr>
          <w:p w14:paraId="07C9B9A6" w14:textId="77777777" w:rsidR="00441049" w:rsidRPr="008E7C34" w:rsidRDefault="00441049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E9CE297" w14:textId="5C60C746" w:rsidR="00CF733C" w:rsidRPr="008E7C34" w:rsidRDefault="00CF733C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Secţiunea a 6-a </w:t>
            </w:r>
          </w:p>
          <w:p w14:paraId="43ADAFD2" w14:textId="77777777" w:rsidR="00CF733C" w:rsidRPr="008E7C34" w:rsidRDefault="00CF733C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Consultările efectuate în vederea elaborării proiectului de act normativ </w:t>
            </w:r>
          </w:p>
          <w:p w14:paraId="793ED384" w14:textId="77777777" w:rsidR="00CF733C" w:rsidRPr="008E7C34" w:rsidRDefault="00CF733C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62FB0" w:rsidRPr="00B62FB0" w14:paraId="65FB9FA2" w14:textId="77777777" w:rsidTr="00B81617">
        <w:tc>
          <w:tcPr>
            <w:tcW w:w="4928" w:type="dxa"/>
            <w:gridSpan w:val="3"/>
            <w:tcBorders>
              <w:right w:val="nil"/>
            </w:tcBorders>
          </w:tcPr>
          <w:p w14:paraId="555B9C8D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Informaţii privind procesul de consultare cu organizaţiile neguvernamentale, institute de cercetare şi alte organisme implicate </w:t>
            </w:r>
          </w:p>
          <w:p w14:paraId="3691BD8B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132" w:type="dxa"/>
            <w:gridSpan w:val="6"/>
          </w:tcPr>
          <w:p w14:paraId="10213BB1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B62FB0" w:rsidRPr="00B62FB0" w14:paraId="1F6A92B0" w14:textId="77777777" w:rsidTr="00B81617">
        <w:tc>
          <w:tcPr>
            <w:tcW w:w="4928" w:type="dxa"/>
            <w:gridSpan w:val="3"/>
            <w:tcBorders>
              <w:right w:val="nil"/>
            </w:tcBorders>
          </w:tcPr>
          <w:p w14:paraId="0127FBBF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Fundamentarea alegerii organizaţiilor cu care a avut loc consultarea precum şi a modului în care activitatea acestor organizaţii este legată de obiectul proiectului de act normativ </w:t>
            </w:r>
          </w:p>
          <w:p w14:paraId="75F18575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132" w:type="dxa"/>
            <w:gridSpan w:val="6"/>
          </w:tcPr>
          <w:p w14:paraId="4D99C6C0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B62FB0" w:rsidRPr="00B62FB0" w14:paraId="0E62DD12" w14:textId="77777777" w:rsidTr="00B81617">
        <w:tc>
          <w:tcPr>
            <w:tcW w:w="4928" w:type="dxa"/>
            <w:gridSpan w:val="3"/>
            <w:tcBorders>
              <w:right w:val="nil"/>
            </w:tcBorders>
          </w:tcPr>
          <w:p w14:paraId="568A22BB" w14:textId="2158F545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Consultările organizate cu autorităţile administraţiei publice locale, în situaţia în care proiectul de act normativ are ca obiect activităţi ale acestor autorităţi, în condiţiile Hotărârii Guvernului nr.</w:t>
            </w:r>
            <w:r w:rsidR="009A0E0E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521/2005 privind procedura de consultare a structurilor asociative ale autorităţilor administraţiei publice locale la elaborarea proiectelor de acte normative </w:t>
            </w:r>
          </w:p>
          <w:p w14:paraId="0C635400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132" w:type="dxa"/>
            <w:gridSpan w:val="6"/>
          </w:tcPr>
          <w:p w14:paraId="599A4556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B62FB0" w:rsidRPr="00B62FB0" w14:paraId="12B159A6" w14:textId="77777777" w:rsidTr="00B81617">
        <w:tc>
          <w:tcPr>
            <w:tcW w:w="4928" w:type="dxa"/>
            <w:gridSpan w:val="3"/>
            <w:tcBorders>
              <w:right w:val="nil"/>
            </w:tcBorders>
          </w:tcPr>
          <w:p w14:paraId="01C7B371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 Consultările desfăşurate în cadrul consiliilor interministeriale în conformitate cu prevederile Hotărârii Guvernului nr.750/2005 privind constituirea consiliilor interministeriale permanente </w:t>
            </w:r>
          </w:p>
          <w:p w14:paraId="653B967E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132" w:type="dxa"/>
            <w:gridSpan w:val="6"/>
          </w:tcPr>
          <w:p w14:paraId="3A095291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B62FB0" w:rsidRPr="00B62FB0" w14:paraId="7FA43C94" w14:textId="77777777" w:rsidTr="00B81617">
        <w:tc>
          <w:tcPr>
            <w:tcW w:w="4928" w:type="dxa"/>
            <w:gridSpan w:val="3"/>
            <w:tcBorders>
              <w:right w:val="nil"/>
            </w:tcBorders>
          </w:tcPr>
          <w:p w14:paraId="38C8E808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="00581BCD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avizarea de către: </w:t>
            </w:r>
          </w:p>
          <w:p w14:paraId="0E7A53A0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a) Consiliul Legislativ </w:t>
            </w:r>
          </w:p>
          <w:p w14:paraId="05E6D701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b) Consiliul Suprem de Apărare a Ţării </w:t>
            </w:r>
          </w:p>
          <w:p w14:paraId="03D2E57C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c) Consiliul Economic şi Social </w:t>
            </w:r>
          </w:p>
          <w:p w14:paraId="4CBA684A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d) Consiliul Concurenţei </w:t>
            </w:r>
          </w:p>
          <w:p w14:paraId="263FB919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e) Curtea de Conturi </w:t>
            </w:r>
          </w:p>
        </w:tc>
        <w:tc>
          <w:tcPr>
            <w:tcW w:w="5132" w:type="dxa"/>
            <w:gridSpan w:val="6"/>
          </w:tcPr>
          <w:p w14:paraId="75ACC23B" w14:textId="6CA85E88" w:rsidR="0017195C" w:rsidRPr="008E7C34" w:rsidRDefault="00B3517B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</w:t>
            </w:r>
            <w:r w:rsidR="0017195C" w:rsidRPr="008E7C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 cadrul procesului de adoptare prezentul act normativ </w:t>
            </w:r>
            <w:r w:rsidR="00581BCD" w:rsidRPr="008E7C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urmează</w:t>
            </w:r>
            <w:r w:rsidR="0017195C" w:rsidRPr="008E7C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</w:t>
            </w:r>
            <w:r w:rsidR="00581BCD" w:rsidRPr="008E7C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ă</w:t>
            </w:r>
            <w:r w:rsidR="0017195C" w:rsidRPr="008E7C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fie avizat de </w:t>
            </w:r>
            <w:r w:rsidR="00581BCD" w:rsidRPr="008E7C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către</w:t>
            </w:r>
            <w:r w:rsidR="0017195C" w:rsidRPr="008E7C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Consiliul Legislativ</w:t>
            </w:r>
            <w:r w:rsidR="006F0EF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</w:t>
            </w:r>
            <w:r w:rsidR="006F0EF1"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Consiliul Economic şi Social</w:t>
            </w:r>
          </w:p>
        </w:tc>
      </w:tr>
      <w:tr w:rsidR="00B62FB0" w:rsidRPr="00B62FB0" w14:paraId="6E862D61" w14:textId="77777777" w:rsidTr="00B81617">
        <w:tc>
          <w:tcPr>
            <w:tcW w:w="4928" w:type="dxa"/>
            <w:gridSpan w:val="3"/>
            <w:tcBorders>
              <w:bottom w:val="single" w:sz="4" w:space="0" w:color="auto"/>
              <w:right w:val="nil"/>
            </w:tcBorders>
          </w:tcPr>
          <w:p w14:paraId="5AB4F060" w14:textId="77777777" w:rsidR="0017195C" w:rsidRPr="008E7C34" w:rsidRDefault="0017195C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Alte informaţii </w:t>
            </w:r>
          </w:p>
          <w:p w14:paraId="6A768164" w14:textId="77777777" w:rsidR="0017195C" w:rsidRPr="008E7C34" w:rsidRDefault="0017195C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132" w:type="dxa"/>
            <w:gridSpan w:val="6"/>
            <w:tcBorders>
              <w:bottom w:val="single" w:sz="4" w:space="0" w:color="auto"/>
            </w:tcBorders>
          </w:tcPr>
          <w:p w14:paraId="5F4ED675" w14:textId="77777777" w:rsidR="0017195C" w:rsidRPr="008E7C34" w:rsidRDefault="0017195C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Nu au fost identificate</w:t>
            </w:r>
          </w:p>
        </w:tc>
      </w:tr>
      <w:tr w:rsidR="00B62FB0" w:rsidRPr="00B62FB0" w14:paraId="4B2A80E5" w14:textId="77777777" w:rsidTr="00B81617">
        <w:tc>
          <w:tcPr>
            <w:tcW w:w="10060" w:type="dxa"/>
            <w:gridSpan w:val="9"/>
            <w:tcBorders>
              <w:bottom w:val="nil"/>
            </w:tcBorders>
          </w:tcPr>
          <w:p w14:paraId="78D3473C" w14:textId="77777777" w:rsidR="00441049" w:rsidRPr="008E7C34" w:rsidRDefault="00441049" w:rsidP="001651BA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C87CB24" w14:textId="1414B0E7" w:rsidR="00036562" w:rsidRPr="008E7C34" w:rsidRDefault="00036562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Secţiunea a 7-a </w:t>
            </w:r>
          </w:p>
          <w:p w14:paraId="7088E2F1" w14:textId="77777777" w:rsidR="00036562" w:rsidRPr="008E7C34" w:rsidRDefault="00036562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Activităţi de informare publică privind elaborarea şi implementarea proiectului de act normativ </w:t>
            </w:r>
          </w:p>
          <w:p w14:paraId="4E77209A" w14:textId="77777777" w:rsidR="00036562" w:rsidRPr="008E7C34" w:rsidRDefault="00036562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62FB0" w:rsidRPr="00B62FB0" w14:paraId="76C9E02D" w14:textId="77777777" w:rsidTr="00B81617">
        <w:tc>
          <w:tcPr>
            <w:tcW w:w="4928" w:type="dxa"/>
            <w:gridSpan w:val="3"/>
            <w:tcBorders>
              <w:top w:val="single" w:sz="4" w:space="0" w:color="auto"/>
              <w:right w:val="nil"/>
            </w:tcBorders>
          </w:tcPr>
          <w:p w14:paraId="389FBFF0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Informarea societăţii civile cu privire la necesitatea elaborării proiectului de act normativ </w:t>
            </w:r>
          </w:p>
          <w:p w14:paraId="63931F7F" w14:textId="77777777" w:rsidR="0017195C" w:rsidRPr="008E7C34" w:rsidRDefault="0017195C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132" w:type="dxa"/>
            <w:gridSpan w:val="6"/>
            <w:tcBorders>
              <w:top w:val="single" w:sz="4" w:space="0" w:color="auto"/>
            </w:tcBorders>
          </w:tcPr>
          <w:p w14:paraId="1EAD3B55" w14:textId="167796F6" w:rsidR="0017195C" w:rsidRPr="008E7C34" w:rsidRDefault="0043519C" w:rsidP="001651BA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4351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În elaborarea proiectului a fost îndeplinită procedura stabilită prin Legea nr. 52/2003 privind transparenţa decizională în administraţia  publică, republicată.</w:t>
            </w:r>
          </w:p>
        </w:tc>
      </w:tr>
      <w:tr w:rsidR="00B62FB0" w:rsidRPr="00B62FB0" w14:paraId="5EE9027A" w14:textId="77777777" w:rsidTr="00B81617">
        <w:tc>
          <w:tcPr>
            <w:tcW w:w="4928" w:type="dxa"/>
            <w:gridSpan w:val="3"/>
            <w:tcBorders>
              <w:right w:val="nil"/>
            </w:tcBorders>
          </w:tcPr>
          <w:p w14:paraId="35F1311E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Informarea societăţii civile cu privire la eventualul impact asupra mediului în urma implementării proiectului de act normativ, </w:t>
            </w: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precum şi efectele asupra sănătăţii şi securităţii cetăţenilor sau diversităţii biologice</w:t>
            </w:r>
          </w:p>
          <w:p w14:paraId="39AA164F" w14:textId="56FFFF47" w:rsidR="00924033" w:rsidRPr="008E7C34" w:rsidRDefault="00924033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132" w:type="dxa"/>
            <w:gridSpan w:val="6"/>
          </w:tcPr>
          <w:p w14:paraId="4D26A732" w14:textId="77777777" w:rsidR="0017195C" w:rsidRPr="008E7C34" w:rsidRDefault="0017195C" w:rsidP="001651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Proiectul de act normativ nu se referă la acest subiect.</w:t>
            </w:r>
          </w:p>
        </w:tc>
      </w:tr>
      <w:tr w:rsidR="00B62FB0" w:rsidRPr="00B62FB0" w14:paraId="26FF45EF" w14:textId="77777777" w:rsidTr="00B81617">
        <w:tc>
          <w:tcPr>
            <w:tcW w:w="4928" w:type="dxa"/>
            <w:gridSpan w:val="3"/>
            <w:tcBorders>
              <w:right w:val="nil"/>
            </w:tcBorders>
          </w:tcPr>
          <w:p w14:paraId="7C9FC603" w14:textId="77777777" w:rsidR="00924033" w:rsidRPr="008E7C34" w:rsidRDefault="00924033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C10EFF1" w14:textId="00F61C13" w:rsidR="0017195C" w:rsidRPr="008E7C34" w:rsidRDefault="0017195C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Alte informaţii </w:t>
            </w:r>
          </w:p>
          <w:p w14:paraId="20D1C06D" w14:textId="77777777" w:rsidR="0017195C" w:rsidRPr="008E7C34" w:rsidRDefault="0017195C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132" w:type="dxa"/>
            <w:gridSpan w:val="6"/>
            <w:tcBorders>
              <w:bottom w:val="single" w:sz="4" w:space="0" w:color="auto"/>
            </w:tcBorders>
          </w:tcPr>
          <w:p w14:paraId="29CFE134" w14:textId="77777777" w:rsidR="0017195C" w:rsidRPr="008E7C34" w:rsidRDefault="0017195C" w:rsidP="00165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Nu au fost identificate</w:t>
            </w:r>
          </w:p>
        </w:tc>
      </w:tr>
      <w:tr w:rsidR="00B62FB0" w:rsidRPr="00B62FB0" w14:paraId="38ED3778" w14:textId="77777777" w:rsidTr="00B81617">
        <w:trPr>
          <w:trHeight w:val="710"/>
        </w:trPr>
        <w:tc>
          <w:tcPr>
            <w:tcW w:w="4928" w:type="dxa"/>
            <w:gridSpan w:val="3"/>
            <w:tcBorders>
              <w:right w:val="nil"/>
            </w:tcBorders>
          </w:tcPr>
          <w:p w14:paraId="2A2AA496" w14:textId="12BE4F74" w:rsidR="006929D8" w:rsidRPr="008E7C34" w:rsidRDefault="006929D8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Secţiunea a 8-a </w:t>
            </w:r>
          </w:p>
          <w:p w14:paraId="40F8E243" w14:textId="77777777" w:rsidR="006929D8" w:rsidRPr="008E7C34" w:rsidRDefault="006929D8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Măsuri de implementare </w:t>
            </w:r>
          </w:p>
        </w:tc>
        <w:tc>
          <w:tcPr>
            <w:tcW w:w="5132" w:type="dxa"/>
            <w:gridSpan w:val="6"/>
            <w:tcBorders>
              <w:bottom w:val="single" w:sz="4" w:space="0" w:color="auto"/>
            </w:tcBorders>
          </w:tcPr>
          <w:p w14:paraId="270D0107" w14:textId="77777777" w:rsidR="006929D8" w:rsidRPr="008E7C34" w:rsidRDefault="006929D8" w:rsidP="001651BA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B62FB0" w:rsidRPr="00B62FB0" w14:paraId="3F84BBC7" w14:textId="77777777" w:rsidTr="00B81617">
        <w:tc>
          <w:tcPr>
            <w:tcW w:w="4928" w:type="dxa"/>
            <w:gridSpan w:val="3"/>
            <w:tcBorders>
              <w:right w:val="nil"/>
            </w:tcBorders>
          </w:tcPr>
          <w:p w14:paraId="7F75CCD5" w14:textId="77777777" w:rsidR="006929D8" w:rsidRPr="008E7C34" w:rsidRDefault="006929D8" w:rsidP="0016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Măsurile de punere în aplicare a proiectului de act normativ de către autorităţile administraţiei publice centrale şi/sau locale - înfiinţarea unor noi organisme sau extinderea competenţelor instituţiilor existente </w:t>
            </w:r>
          </w:p>
          <w:p w14:paraId="65400A34" w14:textId="77777777" w:rsidR="006929D8" w:rsidRPr="008E7C34" w:rsidRDefault="006929D8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32" w:type="dxa"/>
            <w:gridSpan w:val="6"/>
            <w:tcBorders>
              <w:bottom w:val="single" w:sz="4" w:space="0" w:color="auto"/>
            </w:tcBorders>
          </w:tcPr>
          <w:p w14:paraId="64D44C6C" w14:textId="437CE02C" w:rsidR="006929D8" w:rsidRPr="008E7C34" w:rsidRDefault="0043519C" w:rsidP="001651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Proiectul de act normativ nu se referă la acest subiect. </w:t>
            </w:r>
          </w:p>
        </w:tc>
      </w:tr>
      <w:tr w:rsidR="006929D8" w:rsidRPr="00B62FB0" w14:paraId="2648A104" w14:textId="77777777" w:rsidTr="00B81617">
        <w:tc>
          <w:tcPr>
            <w:tcW w:w="4928" w:type="dxa"/>
            <w:gridSpan w:val="3"/>
            <w:tcBorders>
              <w:right w:val="nil"/>
            </w:tcBorders>
          </w:tcPr>
          <w:p w14:paraId="62249463" w14:textId="77777777" w:rsidR="006929D8" w:rsidRPr="008E7C34" w:rsidRDefault="006929D8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Alte informaţii </w:t>
            </w:r>
          </w:p>
          <w:p w14:paraId="305D84AA" w14:textId="77777777" w:rsidR="006929D8" w:rsidRPr="008E7C34" w:rsidRDefault="006929D8" w:rsidP="001651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32" w:type="dxa"/>
            <w:gridSpan w:val="6"/>
            <w:tcBorders>
              <w:bottom w:val="single" w:sz="4" w:space="0" w:color="auto"/>
            </w:tcBorders>
          </w:tcPr>
          <w:p w14:paraId="0EB73A6A" w14:textId="77777777" w:rsidR="006929D8" w:rsidRPr="008E7C34" w:rsidRDefault="006929D8" w:rsidP="001651BA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E7C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Nu au fost identificate</w:t>
            </w:r>
          </w:p>
        </w:tc>
      </w:tr>
    </w:tbl>
    <w:p w14:paraId="4C4DCE7C" w14:textId="77777777" w:rsidR="00373376" w:rsidRPr="008E7C34" w:rsidRDefault="00373376" w:rsidP="00165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A21E5B9" w14:textId="77777777" w:rsidR="0043519C" w:rsidRDefault="0043519C" w:rsidP="00A53DAA">
      <w:pPr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76A6D3" w14:textId="2EA5AAC0" w:rsidR="00756B70" w:rsidRDefault="00756B7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14:paraId="5A92613F" w14:textId="313573E6" w:rsidR="006D1BB0" w:rsidRPr="008E7C34" w:rsidRDefault="001815F3" w:rsidP="00A53DAA">
      <w:pPr>
        <w:spacing w:after="0" w:line="240" w:lineRule="auto"/>
        <w:ind w:right="-234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E7C34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>P</w:t>
      </w:r>
      <w:r w:rsidR="003F633B" w:rsidRPr="008E7C3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entru considerentele de mai sus, a fost elaborat proiectul de Lege </w:t>
      </w:r>
      <w:r w:rsidR="00373376" w:rsidRPr="008E7C3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modificarea și completarea Legii nr. 278/2013 privind emisiile industriale, </w:t>
      </w:r>
      <w:r w:rsidR="003F633B" w:rsidRPr="008E7C34">
        <w:rPr>
          <w:rFonts w:ascii="Times New Roman" w:hAnsi="Times New Roman" w:cs="Times New Roman"/>
          <w:bCs/>
          <w:sz w:val="24"/>
          <w:szCs w:val="24"/>
          <w:lang w:val="ro-RO"/>
        </w:rPr>
        <w:t>care în forma prezentată a fost avizat de ministerele interesate şi de Consiliul Legislativ</w:t>
      </w:r>
      <w:r w:rsidR="0043519C" w:rsidRPr="008E7C3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pe</w:t>
      </w:r>
      <w:r w:rsidR="003F633B" w:rsidRPr="008E7C3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8C7D05" w:rsidRPr="008E7C34">
        <w:rPr>
          <w:rFonts w:ascii="Times New Roman" w:hAnsi="Times New Roman" w:cs="Times New Roman"/>
          <w:bCs/>
          <w:sz w:val="24"/>
          <w:szCs w:val="24"/>
          <w:lang w:val="ro-RO"/>
        </w:rPr>
        <w:t>care îl</w:t>
      </w:r>
      <w:r w:rsidR="003F633B" w:rsidRPr="008E7C3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supunem spre adoptare.</w:t>
      </w:r>
    </w:p>
    <w:p w14:paraId="316A3BBC" w14:textId="335171BB" w:rsidR="00373376" w:rsidRPr="00B81617" w:rsidRDefault="00373376" w:rsidP="00165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684DC5D" w14:textId="77777777" w:rsidR="008C7D05" w:rsidRPr="00B81617" w:rsidRDefault="008C7D05" w:rsidP="00165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674373B" w14:textId="77777777" w:rsidR="001E5842" w:rsidRPr="00B81617" w:rsidRDefault="001E5842" w:rsidP="00165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D6C493" w14:textId="1377BA10" w:rsidR="00CF733C" w:rsidRPr="00B81617" w:rsidRDefault="00FA024A" w:rsidP="00165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81617">
        <w:rPr>
          <w:rFonts w:ascii="Times New Roman" w:hAnsi="Times New Roman" w:cs="Times New Roman"/>
          <w:b/>
          <w:sz w:val="24"/>
          <w:szCs w:val="24"/>
          <w:lang w:val="ro-RO"/>
        </w:rPr>
        <w:t>MINISTRUL MEDIULUI</w:t>
      </w:r>
      <w:r w:rsidR="00373376" w:rsidRPr="00B81617">
        <w:rPr>
          <w:rFonts w:ascii="Times New Roman" w:hAnsi="Times New Roman" w:cs="Times New Roman"/>
          <w:b/>
          <w:sz w:val="24"/>
          <w:szCs w:val="24"/>
          <w:lang w:val="ro-RO"/>
        </w:rPr>
        <w:t>, APELOR ȘI PĂDURILOR</w:t>
      </w:r>
    </w:p>
    <w:p w14:paraId="7329B34E" w14:textId="77777777" w:rsidR="001E5842" w:rsidRPr="00B81617" w:rsidRDefault="001E5842" w:rsidP="00165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4021E7" w14:textId="566A1636" w:rsidR="00CF733C" w:rsidRPr="00B81617" w:rsidRDefault="0043519C" w:rsidP="00165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D0DCA">
        <w:rPr>
          <w:rFonts w:ascii="Times New Roman" w:hAnsi="Times New Roman" w:cs="Times New Roman"/>
          <w:b/>
          <w:bCs/>
          <w:sz w:val="24"/>
          <w:szCs w:val="24"/>
          <w:lang w:val="ro-RO"/>
        </w:rPr>
        <w:t>BARNA</w:t>
      </w:r>
      <w:r w:rsidR="00373376" w:rsidRPr="00B8161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TÁNCZOS</w:t>
      </w:r>
    </w:p>
    <w:p w14:paraId="69618756" w14:textId="3DDD73F2" w:rsidR="00A85059" w:rsidRPr="00B81617" w:rsidRDefault="00A85059" w:rsidP="001651BA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 w:bidi="en-US"/>
        </w:rPr>
      </w:pPr>
    </w:p>
    <w:p w14:paraId="73B5D16B" w14:textId="77777777" w:rsidR="00644768" w:rsidRPr="00B81617" w:rsidRDefault="00644768" w:rsidP="001651BA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 w:bidi="en-US"/>
        </w:rPr>
      </w:pPr>
    </w:p>
    <w:p w14:paraId="5D91E813" w14:textId="77777777" w:rsidR="00A85059" w:rsidRPr="00B81617" w:rsidRDefault="00A85059" w:rsidP="001651BA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 w:bidi="en-US"/>
        </w:rPr>
      </w:pPr>
    </w:p>
    <w:p w14:paraId="20F369C3" w14:textId="77777777" w:rsidR="0043519C" w:rsidRDefault="0043519C" w:rsidP="00815E16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 w:bidi="en-US"/>
        </w:rPr>
      </w:pPr>
      <w:r w:rsidRPr="004D0DCA">
        <w:rPr>
          <w:rFonts w:ascii="Times New Roman" w:hAnsi="Times New Roman" w:cs="Times New Roman"/>
          <w:b/>
          <w:sz w:val="24"/>
          <w:szCs w:val="24"/>
          <w:u w:val="single"/>
          <w:lang w:val="ro-RO" w:bidi="en-US"/>
        </w:rPr>
        <w:t>AVIZĂM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 w:bidi="en-US"/>
        </w:rPr>
        <w:t>:</w:t>
      </w:r>
      <w:r w:rsidR="00CF733C" w:rsidRPr="00B81617">
        <w:rPr>
          <w:rFonts w:ascii="Times New Roman" w:hAnsi="Times New Roman" w:cs="Times New Roman"/>
          <w:b/>
          <w:sz w:val="24"/>
          <w:szCs w:val="24"/>
          <w:u w:val="single"/>
          <w:lang w:val="ro-RO" w:bidi="en-US"/>
        </w:rPr>
        <w:t xml:space="preserve"> </w:t>
      </w:r>
    </w:p>
    <w:p w14:paraId="21BB2B86" w14:textId="77777777" w:rsidR="0043519C" w:rsidRDefault="0043519C" w:rsidP="00815E16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 w:bidi="en-US"/>
        </w:rPr>
      </w:pPr>
    </w:p>
    <w:p w14:paraId="0A083CD7" w14:textId="77777777" w:rsidR="0043519C" w:rsidRPr="006C51EB" w:rsidRDefault="0043519C" w:rsidP="0043519C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51EB">
        <w:rPr>
          <w:rFonts w:ascii="Times New Roman" w:hAnsi="Times New Roman" w:cs="Times New Roman"/>
          <w:b/>
          <w:sz w:val="24"/>
          <w:szCs w:val="24"/>
          <w:lang w:val="ro-RO"/>
        </w:rPr>
        <w:t>VICEPRIM - MINISTRU</w:t>
      </w:r>
    </w:p>
    <w:p w14:paraId="24818055" w14:textId="1CD3D9BD" w:rsidR="0043519C" w:rsidRPr="00B81617" w:rsidRDefault="0043519C" w:rsidP="00815E16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ro-RO" w:bidi="en-US"/>
        </w:rPr>
      </w:pPr>
      <w:r>
        <w:rPr>
          <w:rFonts w:ascii="Times New Roman" w:hAnsi="Times New Roman" w:cs="Times New Roman"/>
          <w:b/>
          <w:sz w:val="24"/>
          <w:szCs w:val="24"/>
          <w:lang w:val="ro-RO" w:bidi="en-US"/>
        </w:rPr>
        <w:t>HUNOR</w:t>
      </w:r>
      <w:r w:rsidR="00006C83" w:rsidRPr="00006C83">
        <w:rPr>
          <w:rFonts w:ascii="Times New Roman" w:hAnsi="Times New Roman" w:cs="Times New Roman"/>
          <w:b/>
          <w:sz w:val="24"/>
          <w:szCs w:val="24"/>
          <w:lang w:val="ro-RO" w:bidi="en-US"/>
        </w:rPr>
        <w:t xml:space="preserve"> </w:t>
      </w:r>
      <w:r w:rsidR="00006C83">
        <w:rPr>
          <w:rFonts w:ascii="Times New Roman" w:hAnsi="Times New Roman" w:cs="Times New Roman"/>
          <w:b/>
          <w:sz w:val="24"/>
          <w:szCs w:val="24"/>
          <w:lang w:val="ro-RO" w:bidi="en-US"/>
        </w:rPr>
        <w:t>KELEMEN</w:t>
      </w:r>
    </w:p>
    <w:p w14:paraId="17250FC1" w14:textId="77777777" w:rsidR="0043519C" w:rsidRDefault="0043519C" w:rsidP="00815E16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 w:bidi="en-US"/>
        </w:rPr>
      </w:pPr>
    </w:p>
    <w:p w14:paraId="63FC20C0" w14:textId="77777777" w:rsidR="004D0DCA" w:rsidRDefault="004D0DCA" w:rsidP="00815E16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 w:bidi="en-US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709"/>
        <w:gridCol w:w="5103"/>
      </w:tblGrid>
      <w:tr w:rsidR="00421092" w14:paraId="4EFCB4C0" w14:textId="77777777" w:rsidTr="00B81617">
        <w:tc>
          <w:tcPr>
            <w:tcW w:w="4531" w:type="dxa"/>
          </w:tcPr>
          <w:p w14:paraId="01084B81" w14:textId="77777777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51E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MINISTRUL ENERGIEI</w:t>
            </w:r>
          </w:p>
          <w:p w14:paraId="4596236D" w14:textId="77777777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9AD418D" w14:textId="77777777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10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VIRGIL-DANIEL POPESC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</w:t>
            </w:r>
          </w:p>
          <w:p w14:paraId="7D590CE9" w14:textId="7F323A0B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 w:bidi="en-US"/>
              </w:rPr>
            </w:pPr>
          </w:p>
          <w:p w14:paraId="44E9AF6F" w14:textId="77777777" w:rsidR="00294017" w:rsidRDefault="00294017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 w:bidi="en-US"/>
              </w:rPr>
            </w:pPr>
          </w:p>
          <w:p w14:paraId="38DF3951" w14:textId="56B87478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 w:bidi="en-US"/>
              </w:rPr>
            </w:pPr>
          </w:p>
        </w:tc>
        <w:tc>
          <w:tcPr>
            <w:tcW w:w="709" w:type="dxa"/>
          </w:tcPr>
          <w:p w14:paraId="66A6B8C8" w14:textId="77777777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 w:bidi="en-US"/>
              </w:rPr>
            </w:pPr>
          </w:p>
        </w:tc>
        <w:tc>
          <w:tcPr>
            <w:tcW w:w="5103" w:type="dxa"/>
          </w:tcPr>
          <w:p w14:paraId="2C447101" w14:textId="640B31AC" w:rsidR="00421092" w:rsidRPr="00B24035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lang w:val="ro-RO"/>
              </w:rPr>
            </w:pPr>
            <w:r w:rsidRPr="00B24035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>MINISTRUL SĂNĂTĂȚII</w:t>
            </w:r>
          </w:p>
          <w:p w14:paraId="7464BC28" w14:textId="77777777" w:rsidR="00421092" w:rsidRPr="00B24035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bdr w:val="none" w:sz="0" w:space="0" w:color="auto" w:frame="1"/>
                <w:lang w:val="ro-RO"/>
              </w:rPr>
            </w:pPr>
          </w:p>
          <w:p w14:paraId="27F4D1C4" w14:textId="0582A3AE" w:rsidR="00B24035" w:rsidRPr="00B24035" w:rsidRDefault="00CF423B" w:rsidP="00B24035">
            <w:pPr>
              <w:pStyle w:val="Heading3"/>
              <w:shd w:val="clear" w:color="auto" w:fill="FFFFFF"/>
              <w:spacing w:before="0"/>
              <w:jc w:val="center"/>
              <w:textAlignment w:val="baseline"/>
              <w:outlineLvl w:val="2"/>
              <w:rPr>
                <w:rStyle w:val="Hyperlink"/>
                <w:rFonts w:ascii="Times New Roman" w:eastAsiaTheme="minorHAnsi" w:hAnsi="Times New Roman" w:cs="Times New Roman"/>
                <w:b/>
                <w:color w:val="auto"/>
                <w:u w:val="none"/>
                <w:bdr w:val="none" w:sz="0" w:space="0" w:color="auto" w:frame="1"/>
                <w:lang w:val="ro-RO"/>
              </w:rPr>
            </w:pPr>
            <w:hyperlink r:id="rId8" w:history="1">
              <w:r w:rsidR="00B24035" w:rsidRPr="00B24035">
                <w:rPr>
                  <w:rStyle w:val="Hyperlink"/>
                  <w:rFonts w:ascii="Times New Roman" w:eastAsiaTheme="minorHAnsi" w:hAnsi="Times New Roman" w:cs="Times New Roman"/>
                  <w:b/>
                  <w:color w:val="auto"/>
                  <w:u w:val="none"/>
                  <w:bdr w:val="none" w:sz="0" w:space="0" w:color="auto" w:frame="1"/>
                  <w:lang w:val="ro-RO"/>
                </w:rPr>
                <w:t>IOANA MIHĂILĂ</w:t>
              </w:r>
            </w:hyperlink>
          </w:p>
          <w:p w14:paraId="250BC120" w14:textId="581D2464" w:rsidR="00421092" w:rsidRPr="00B24035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Style w:val="Hyperlink"/>
                <w:color w:val="auto"/>
                <w:u w:val="none"/>
                <w:bdr w:val="none" w:sz="0" w:space="0" w:color="auto" w:frame="1"/>
              </w:rPr>
            </w:pPr>
          </w:p>
        </w:tc>
      </w:tr>
      <w:tr w:rsidR="00421092" w14:paraId="4452FE53" w14:textId="77777777" w:rsidTr="00B81617">
        <w:tc>
          <w:tcPr>
            <w:tcW w:w="4531" w:type="dxa"/>
          </w:tcPr>
          <w:p w14:paraId="35C9178F" w14:textId="571547DE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bidi="en-US"/>
              </w:rPr>
              <w:t>MINISTRUL AFACERILOR INTERNE</w:t>
            </w:r>
          </w:p>
          <w:p w14:paraId="6672FB2B" w14:textId="77777777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bidi="en-US"/>
              </w:rPr>
            </w:pPr>
          </w:p>
          <w:p w14:paraId="4FAF1891" w14:textId="5590F9B9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 w:bidi="en-US"/>
              </w:rPr>
            </w:pPr>
            <w:r w:rsidRPr="00421092">
              <w:rPr>
                <w:rFonts w:ascii="Times New Roman" w:hAnsi="Times New Roman" w:cs="Times New Roman"/>
                <w:b/>
                <w:sz w:val="24"/>
                <w:szCs w:val="24"/>
                <w:lang w:val="ro-RO" w:bidi="en-US"/>
              </w:rPr>
              <w:t>LUCIAN NICOLAE BOD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bidi="en-US"/>
              </w:rPr>
              <w:t>E</w:t>
            </w:r>
          </w:p>
        </w:tc>
        <w:tc>
          <w:tcPr>
            <w:tcW w:w="709" w:type="dxa"/>
          </w:tcPr>
          <w:p w14:paraId="0B4E6552" w14:textId="77777777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 w:bidi="en-US"/>
              </w:rPr>
            </w:pPr>
          </w:p>
        </w:tc>
        <w:tc>
          <w:tcPr>
            <w:tcW w:w="5103" w:type="dxa"/>
          </w:tcPr>
          <w:p w14:paraId="749018D3" w14:textId="1C7D83BB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51E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MINISTRUL ECONOMIEI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Pr="006C51E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ANTREPRENORIATULUI ȘI TURISMULUI</w:t>
            </w:r>
          </w:p>
          <w:p w14:paraId="6A9BC736" w14:textId="77777777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52BE3C0" w14:textId="77777777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bdr w:val="none" w:sz="0" w:space="0" w:color="auto" w:frame="1"/>
                <w:lang w:val="ro-RO"/>
              </w:rPr>
            </w:pPr>
            <w:r w:rsidRPr="006C51E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  <w:hyperlink r:id="rId9" w:history="1">
              <w:r w:rsidRPr="006C51EB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ro-RO"/>
                </w:rPr>
                <w:t>LAUDIU-IULIUS-GAVRIL NĂSUI</w:t>
              </w:r>
            </w:hyperlink>
          </w:p>
          <w:p w14:paraId="279B2B0A" w14:textId="53FBFD7B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Style w:val="Hyperlink"/>
                <w:bdr w:val="none" w:sz="0" w:space="0" w:color="auto" w:frame="1"/>
              </w:rPr>
            </w:pPr>
          </w:p>
          <w:p w14:paraId="05382E74" w14:textId="77777777" w:rsidR="00294017" w:rsidRDefault="00294017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Style w:val="Hyperlink"/>
                <w:bdr w:val="none" w:sz="0" w:space="0" w:color="auto" w:frame="1"/>
              </w:rPr>
            </w:pPr>
          </w:p>
          <w:p w14:paraId="5991AAD1" w14:textId="6FCD073A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 w:bidi="en-US"/>
              </w:rPr>
            </w:pPr>
          </w:p>
        </w:tc>
      </w:tr>
      <w:tr w:rsidR="00421092" w14:paraId="790C3442" w14:textId="77777777" w:rsidTr="00B81617">
        <w:tc>
          <w:tcPr>
            <w:tcW w:w="4531" w:type="dxa"/>
          </w:tcPr>
          <w:p w14:paraId="7AC0F667" w14:textId="77777777" w:rsidR="00421092" w:rsidRPr="0075731B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51EB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MINISTRUL FINANȚELOR</w:t>
            </w:r>
          </w:p>
          <w:p w14:paraId="4953EECE" w14:textId="77777777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 w:bidi="en-US"/>
              </w:rPr>
            </w:pPr>
          </w:p>
          <w:p w14:paraId="1BBA3AEA" w14:textId="77777777" w:rsidR="00421092" w:rsidRDefault="00CF423B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bdr w:val="none" w:sz="0" w:space="0" w:color="auto" w:frame="1"/>
                <w:lang w:val="ro-RO"/>
              </w:rPr>
            </w:pPr>
            <w:hyperlink r:id="rId10" w:history="1">
              <w:r w:rsidR="00421092" w:rsidRPr="006C51EB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ro-RO"/>
                </w:rPr>
                <w:t>ALEXANDRU NAZARE</w:t>
              </w:r>
            </w:hyperlink>
          </w:p>
          <w:p w14:paraId="1B3EFD5A" w14:textId="575AD8A7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Style w:val="Hyperlink"/>
                <w:bdr w:val="none" w:sz="0" w:space="0" w:color="auto" w:frame="1"/>
              </w:rPr>
            </w:pPr>
          </w:p>
          <w:p w14:paraId="53366791" w14:textId="77777777" w:rsidR="00294017" w:rsidRDefault="00294017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Style w:val="Hyperlink"/>
                <w:bdr w:val="none" w:sz="0" w:space="0" w:color="auto" w:frame="1"/>
              </w:rPr>
            </w:pPr>
          </w:p>
          <w:p w14:paraId="3EF38D4B" w14:textId="5272DAC1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 w:bidi="en-US"/>
              </w:rPr>
            </w:pPr>
          </w:p>
        </w:tc>
        <w:tc>
          <w:tcPr>
            <w:tcW w:w="709" w:type="dxa"/>
          </w:tcPr>
          <w:p w14:paraId="2080599A" w14:textId="77777777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 w:bidi="en-US"/>
              </w:rPr>
            </w:pPr>
          </w:p>
        </w:tc>
        <w:tc>
          <w:tcPr>
            <w:tcW w:w="5103" w:type="dxa"/>
          </w:tcPr>
          <w:p w14:paraId="6C6D2DBA" w14:textId="77777777" w:rsidR="00421092" w:rsidRDefault="00421092" w:rsidP="0042109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MINISTRUL AFACERILOR EXTERNE</w:t>
            </w:r>
          </w:p>
          <w:p w14:paraId="7CF41D09" w14:textId="77777777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RO"/>
              </w:rPr>
            </w:pPr>
          </w:p>
          <w:p w14:paraId="7F4FD930" w14:textId="526B644F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RO"/>
              </w:rPr>
            </w:pPr>
            <w:r w:rsidRPr="006C51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RO"/>
              </w:rPr>
              <w:t>BOGDAN LUCIAN AURESCU</w:t>
            </w:r>
          </w:p>
          <w:p w14:paraId="76FA3D3D" w14:textId="77777777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 w:bidi="en-US"/>
              </w:rPr>
            </w:pPr>
          </w:p>
        </w:tc>
      </w:tr>
      <w:tr w:rsidR="00421092" w14:paraId="3A6C77E7" w14:textId="77777777" w:rsidTr="00B81617">
        <w:tc>
          <w:tcPr>
            <w:tcW w:w="4531" w:type="dxa"/>
          </w:tcPr>
          <w:p w14:paraId="7E2E2794" w14:textId="77777777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bdr w:val="none" w:sz="0" w:space="0" w:color="auto" w:frame="1"/>
                <w:lang w:val="ro-RO"/>
              </w:rPr>
            </w:pPr>
            <w: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bdr w:val="none" w:sz="0" w:space="0" w:color="auto" w:frame="1"/>
                <w:lang w:val="ro-RO"/>
              </w:rPr>
              <w:t>MINISTRUL JUSTIȚIEI</w:t>
            </w:r>
          </w:p>
          <w:p w14:paraId="6A3C7B77" w14:textId="77777777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Style w:val="Hyperlink"/>
                <w:bdr w:val="none" w:sz="0" w:space="0" w:color="auto" w:frame="1"/>
              </w:rPr>
            </w:pPr>
          </w:p>
          <w:p w14:paraId="1B386E0C" w14:textId="77777777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bdr w:val="none" w:sz="0" w:space="0" w:color="auto" w:frame="1"/>
                <w:lang w:val="ro-RO"/>
              </w:rPr>
            </w:pPr>
            <w:r w:rsidRPr="004D0DCA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bdr w:val="none" w:sz="0" w:space="0" w:color="auto" w:frame="1"/>
                <w:lang w:val="ro-RO"/>
              </w:rPr>
              <w:t>STELIAN-CRISTIAN ION</w:t>
            </w:r>
          </w:p>
          <w:p w14:paraId="33C64246" w14:textId="77777777" w:rsidR="00B81617" w:rsidRDefault="00B81617" w:rsidP="00B81617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Style w:val="Hyperlink"/>
                <w:bdr w:val="none" w:sz="0" w:space="0" w:color="auto" w:frame="1"/>
              </w:rPr>
            </w:pPr>
          </w:p>
          <w:p w14:paraId="643DC5C7" w14:textId="5EE2899D" w:rsidR="00B81617" w:rsidRDefault="00B81617" w:rsidP="00B81617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 w:bidi="en-US"/>
              </w:rPr>
            </w:pPr>
          </w:p>
        </w:tc>
        <w:tc>
          <w:tcPr>
            <w:tcW w:w="709" w:type="dxa"/>
          </w:tcPr>
          <w:p w14:paraId="30D96299" w14:textId="77777777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 w:bidi="en-US"/>
              </w:rPr>
            </w:pPr>
          </w:p>
        </w:tc>
        <w:tc>
          <w:tcPr>
            <w:tcW w:w="5103" w:type="dxa"/>
          </w:tcPr>
          <w:p w14:paraId="1EA8525D" w14:textId="77777777" w:rsidR="00421092" w:rsidRDefault="00421092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 w:bidi="en-US"/>
              </w:rPr>
            </w:pPr>
          </w:p>
        </w:tc>
      </w:tr>
      <w:tr w:rsidR="00AE2671" w14:paraId="7619FD53" w14:textId="77777777" w:rsidTr="00B81617">
        <w:tc>
          <w:tcPr>
            <w:tcW w:w="4531" w:type="dxa"/>
          </w:tcPr>
          <w:p w14:paraId="5A158F52" w14:textId="77777777" w:rsidR="00AE2671" w:rsidRDefault="00AE2671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bdr w:val="none" w:sz="0" w:space="0" w:color="auto" w:frame="1"/>
                <w:lang w:val="ro-RO"/>
              </w:rPr>
            </w:pPr>
          </w:p>
        </w:tc>
        <w:tc>
          <w:tcPr>
            <w:tcW w:w="709" w:type="dxa"/>
          </w:tcPr>
          <w:p w14:paraId="08282FF5" w14:textId="77777777" w:rsidR="00AE2671" w:rsidRDefault="00AE2671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 w:bidi="en-US"/>
              </w:rPr>
            </w:pPr>
          </w:p>
        </w:tc>
        <w:tc>
          <w:tcPr>
            <w:tcW w:w="5103" w:type="dxa"/>
          </w:tcPr>
          <w:p w14:paraId="08C48474" w14:textId="77777777" w:rsidR="00AE2671" w:rsidRDefault="00AE2671" w:rsidP="00421092">
            <w:pPr>
              <w:tabs>
                <w:tab w:val="left" w:pos="-540"/>
                <w:tab w:val="left" w:pos="0"/>
                <w:tab w:val="left" w:pos="1335"/>
                <w:tab w:val="center" w:pos="2340"/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 w:bidi="en-US"/>
              </w:rPr>
            </w:pPr>
          </w:p>
        </w:tc>
      </w:tr>
    </w:tbl>
    <w:p w14:paraId="5CB4CD61" w14:textId="410992AC" w:rsidR="009A0E0E" w:rsidRPr="00421092" w:rsidRDefault="009A0E0E" w:rsidP="004D0460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sectPr w:rsidR="009A0E0E" w:rsidRPr="00421092" w:rsidSect="00F813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9A0A" w14:textId="77777777" w:rsidR="00CF423B" w:rsidRDefault="00CF423B" w:rsidP="000655D0">
      <w:pPr>
        <w:spacing w:after="0" w:line="240" w:lineRule="auto"/>
      </w:pPr>
      <w:r>
        <w:separator/>
      </w:r>
    </w:p>
  </w:endnote>
  <w:endnote w:type="continuationSeparator" w:id="0">
    <w:p w14:paraId="36F4991D" w14:textId="77777777" w:rsidR="00CF423B" w:rsidRDefault="00CF423B" w:rsidP="0006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B2CD" w14:textId="77777777" w:rsidR="00E0525F" w:rsidRDefault="00E05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0FDF" w14:textId="77777777" w:rsidR="00E0525F" w:rsidRDefault="00E052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7F35" w14:textId="77777777" w:rsidR="00E0525F" w:rsidRDefault="00E05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19BD" w14:textId="77777777" w:rsidR="00CF423B" w:rsidRDefault="00CF423B" w:rsidP="000655D0">
      <w:pPr>
        <w:spacing w:after="0" w:line="240" w:lineRule="auto"/>
      </w:pPr>
      <w:r>
        <w:separator/>
      </w:r>
    </w:p>
  </w:footnote>
  <w:footnote w:type="continuationSeparator" w:id="0">
    <w:p w14:paraId="375F536F" w14:textId="77777777" w:rsidR="00CF423B" w:rsidRDefault="00CF423B" w:rsidP="0006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A122" w14:textId="00E98332" w:rsidR="00E0525F" w:rsidRDefault="00CF423B">
    <w:pPr>
      <w:pStyle w:val="Header"/>
    </w:pPr>
    <w:r>
      <w:rPr>
        <w:noProof/>
      </w:rPr>
      <w:pict w14:anchorId="26896B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92969" o:spid="_x0000_s2050" type="#_x0000_t136" style="position:absolute;margin-left:0;margin-top:0;width:492.05pt;height:210.8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7A67" w14:textId="556BCB23" w:rsidR="00E0525F" w:rsidRDefault="00CF423B">
    <w:pPr>
      <w:pStyle w:val="Header"/>
    </w:pPr>
    <w:r>
      <w:rPr>
        <w:noProof/>
      </w:rPr>
      <w:pict w14:anchorId="2DC40E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92970" o:spid="_x0000_s2051" type="#_x0000_t136" style="position:absolute;margin-left:0;margin-top:0;width:492.05pt;height:210.8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3A33" w14:textId="28ECBC26" w:rsidR="00E0525F" w:rsidRDefault="00CF423B">
    <w:pPr>
      <w:pStyle w:val="Header"/>
    </w:pPr>
    <w:r>
      <w:rPr>
        <w:noProof/>
      </w:rPr>
      <w:pict w14:anchorId="08365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92968" o:spid="_x0000_s2049" type="#_x0000_t136" style="position:absolute;margin-left:0;margin-top:0;width:492.05pt;height:210.8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35890"/>
    <w:multiLevelType w:val="hybridMultilevel"/>
    <w:tmpl w:val="AC3CF164"/>
    <w:lvl w:ilvl="0" w:tplc="615A3B7E">
      <w:start w:val="76"/>
      <w:numFmt w:val="bullet"/>
      <w:lvlText w:val="-"/>
      <w:lvlJc w:val="left"/>
      <w:pPr>
        <w:ind w:left="-633" w:hanging="360"/>
      </w:pPr>
      <w:rPr>
        <w:rFonts w:ascii="Trebuchet MS" w:eastAsiaTheme="minorHAnsi" w:hAnsi="Trebuchet M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 w15:restartNumberingAfterBreak="0">
    <w:nsid w:val="2A6932D1"/>
    <w:multiLevelType w:val="hybridMultilevel"/>
    <w:tmpl w:val="D12AD08C"/>
    <w:lvl w:ilvl="0" w:tplc="08090003">
      <w:start w:val="1"/>
      <w:numFmt w:val="bullet"/>
      <w:lvlText w:val="o"/>
      <w:lvlJc w:val="left"/>
      <w:pPr>
        <w:ind w:left="-134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4D534118"/>
    <w:multiLevelType w:val="hybridMultilevel"/>
    <w:tmpl w:val="A734E4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A1B1EAF"/>
    <w:multiLevelType w:val="hybridMultilevel"/>
    <w:tmpl w:val="21AE6500"/>
    <w:lvl w:ilvl="0" w:tplc="3DFECE4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trackRevision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4A2"/>
    <w:rsid w:val="00006C83"/>
    <w:rsid w:val="000123DE"/>
    <w:rsid w:val="000214EA"/>
    <w:rsid w:val="0003059F"/>
    <w:rsid w:val="00036562"/>
    <w:rsid w:val="000413E0"/>
    <w:rsid w:val="00041F48"/>
    <w:rsid w:val="00042F4A"/>
    <w:rsid w:val="0004441D"/>
    <w:rsid w:val="000456BA"/>
    <w:rsid w:val="00045C54"/>
    <w:rsid w:val="00050C99"/>
    <w:rsid w:val="00056150"/>
    <w:rsid w:val="000655D0"/>
    <w:rsid w:val="00070D3C"/>
    <w:rsid w:val="00083A2D"/>
    <w:rsid w:val="000851C1"/>
    <w:rsid w:val="00085430"/>
    <w:rsid w:val="00094852"/>
    <w:rsid w:val="000A4F7E"/>
    <w:rsid w:val="000B4745"/>
    <w:rsid w:val="000B56A5"/>
    <w:rsid w:val="000B56DA"/>
    <w:rsid w:val="000C08B0"/>
    <w:rsid w:val="000C7C0A"/>
    <w:rsid w:val="000E6EC8"/>
    <w:rsid w:val="000F30CA"/>
    <w:rsid w:val="000F5C90"/>
    <w:rsid w:val="00106E97"/>
    <w:rsid w:val="00107FA4"/>
    <w:rsid w:val="00115CE7"/>
    <w:rsid w:val="001256C2"/>
    <w:rsid w:val="00130274"/>
    <w:rsid w:val="00132B53"/>
    <w:rsid w:val="00140E9C"/>
    <w:rsid w:val="001457C2"/>
    <w:rsid w:val="001503FA"/>
    <w:rsid w:val="00154AC4"/>
    <w:rsid w:val="00154FC8"/>
    <w:rsid w:val="00161984"/>
    <w:rsid w:val="001651BA"/>
    <w:rsid w:val="0017195C"/>
    <w:rsid w:val="00171E6F"/>
    <w:rsid w:val="001815F3"/>
    <w:rsid w:val="00182338"/>
    <w:rsid w:val="00184FE9"/>
    <w:rsid w:val="00192759"/>
    <w:rsid w:val="001949E5"/>
    <w:rsid w:val="001A2BBB"/>
    <w:rsid w:val="001B2A94"/>
    <w:rsid w:val="001C036E"/>
    <w:rsid w:val="001C375B"/>
    <w:rsid w:val="001C45F9"/>
    <w:rsid w:val="001C5C15"/>
    <w:rsid w:val="001D6EE7"/>
    <w:rsid w:val="001E0039"/>
    <w:rsid w:val="001E1240"/>
    <w:rsid w:val="001E5842"/>
    <w:rsid w:val="001F6215"/>
    <w:rsid w:val="002067BD"/>
    <w:rsid w:val="002205DA"/>
    <w:rsid w:val="00222114"/>
    <w:rsid w:val="00241268"/>
    <w:rsid w:val="00242F4F"/>
    <w:rsid w:val="002433F6"/>
    <w:rsid w:val="0025735B"/>
    <w:rsid w:val="0026553A"/>
    <w:rsid w:val="00270667"/>
    <w:rsid w:val="002809E1"/>
    <w:rsid w:val="00282DFD"/>
    <w:rsid w:val="00284A33"/>
    <w:rsid w:val="00286E82"/>
    <w:rsid w:val="00294017"/>
    <w:rsid w:val="002979CC"/>
    <w:rsid w:val="002A0672"/>
    <w:rsid w:val="002A0F1B"/>
    <w:rsid w:val="002B793D"/>
    <w:rsid w:val="002C2B0B"/>
    <w:rsid w:val="002C5A93"/>
    <w:rsid w:val="002C65D5"/>
    <w:rsid w:val="002C6663"/>
    <w:rsid w:val="002C7AEF"/>
    <w:rsid w:val="002D45C3"/>
    <w:rsid w:val="002E1172"/>
    <w:rsid w:val="002E79C8"/>
    <w:rsid w:val="002F68B2"/>
    <w:rsid w:val="002F6CAD"/>
    <w:rsid w:val="00300DDD"/>
    <w:rsid w:val="003039EE"/>
    <w:rsid w:val="00310C41"/>
    <w:rsid w:val="00311B18"/>
    <w:rsid w:val="003240A0"/>
    <w:rsid w:val="003268B7"/>
    <w:rsid w:val="0032708F"/>
    <w:rsid w:val="00333B17"/>
    <w:rsid w:val="0033690F"/>
    <w:rsid w:val="0034506F"/>
    <w:rsid w:val="0034585C"/>
    <w:rsid w:val="00350C38"/>
    <w:rsid w:val="003567AA"/>
    <w:rsid w:val="00373224"/>
    <w:rsid w:val="00373376"/>
    <w:rsid w:val="00373FF5"/>
    <w:rsid w:val="003754A2"/>
    <w:rsid w:val="00375E67"/>
    <w:rsid w:val="003760EA"/>
    <w:rsid w:val="003762C6"/>
    <w:rsid w:val="00383E19"/>
    <w:rsid w:val="00384ABD"/>
    <w:rsid w:val="00387DDA"/>
    <w:rsid w:val="003921BF"/>
    <w:rsid w:val="00392416"/>
    <w:rsid w:val="00394D0E"/>
    <w:rsid w:val="003A0524"/>
    <w:rsid w:val="003B47FA"/>
    <w:rsid w:val="003D0E0A"/>
    <w:rsid w:val="003D3061"/>
    <w:rsid w:val="003E089E"/>
    <w:rsid w:val="003E5D48"/>
    <w:rsid w:val="003F516D"/>
    <w:rsid w:val="003F633B"/>
    <w:rsid w:val="0040531B"/>
    <w:rsid w:val="004069BA"/>
    <w:rsid w:val="00411484"/>
    <w:rsid w:val="004114FC"/>
    <w:rsid w:val="004149EE"/>
    <w:rsid w:val="00420BDC"/>
    <w:rsid w:val="00421092"/>
    <w:rsid w:val="0042241D"/>
    <w:rsid w:val="00431DD1"/>
    <w:rsid w:val="00433891"/>
    <w:rsid w:val="0043519C"/>
    <w:rsid w:val="00441049"/>
    <w:rsid w:val="004440B7"/>
    <w:rsid w:val="004657BC"/>
    <w:rsid w:val="00484F9A"/>
    <w:rsid w:val="00492AAC"/>
    <w:rsid w:val="004A427A"/>
    <w:rsid w:val="004B3556"/>
    <w:rsid w:val="004B7691"/>
    <w:rsid w:val="004C5288"/>
    <w:rsid w:val="004C6B69"/>
    <w:rsid w:val="004C6EEB"/>
    <w:rsid w:val="004D0460"/>
    <w:rsid w:val="004D0B81"/>
    <w:rsid w:val="004D0DCA"/>
    <w:rsid w:val="004D1DA7"/>
    <w:rsid w:val="004E5D11"/>
    <w:rsid w:val="004E5EAE"/>
    <w:rsid w:val="004F24A9"/>
    <w:rsid w:val="0050745D"/>
    <w:rsid w:val="00511EAF"/>
    <w:rsid w:val="00512936"/>
    <w:rsid w:val="005152A8"/>
    <w:rsid w:val="0052007A"/>
    <w:rsid w:val="005270C3"/>
    <w:rsid w:val="0053317F"/>
    <w:rsid w:val="00541E88"/>
    <w:rsid w:val="00542C0D"/>
    <w:rsid w:val="005438FC"/>
    <w:rsid w:val="005517B0"/>
    <w:rsid w:val="00553CFA"/>
    <w:rsid w:val="005540BC"/>
    <w:rsid w:val="00557535"/>
    <w:rsid w:val="00581BCD"/>
    <w:rsid w:val="005842AA"/>
    <w:rsid w:val="00584AED"/>
    <w:rsid w:val="005A44C3"/>
    <w:rsid w:val="005B78AB"/>
    <w:rsid w:val="005C5581"/>
    <w:rsid w:val="005C7CC2"/>
    <w:rsid w:val="005D0BF0"/>
    <w:rsid w:val="005D16BB"/>
    <w:rsid w:val="005D1773"/>
    <w:rsid w:val="005D5A6A"/>
    <w:rsid w:val="005E6F34"/>
    <w:rsid w:val="005F1B11"/>
    <w:rsid w:val="00611A56"/>
    <w:rsid w:val="006131BF"/>
    <w:rsid w:val="00615357"/>
    <w:rsid w:val="00615B4D"/>
    <w:rsid w:val="00624245"/>
    <w:rsid w:val="006359CE"/>
    <w:rsid w:val="00644768"/>
    <w:rsid w:val="00645361"/>
    <w:rsid w:val="006472CB"/>
    <w:rsid w:val="0065163A"/>
    <w:rsid w:val="00652013"/>
    <w:rsid w:val="00655FB5"/>
    <w:rsid w:val="006630EB"/>
    <w:rsid w:val="00680C27"/>
    <w:rsid w:val="00683363"/>
    <w:rsid w:val="006912E4"/>
    <w:rsid w:val="006929D8"/>
    <w:rsid w:val="006A5D2E"/>
    <w:rsid w:val="006B2447"/>
    <w:rsid w:val="006C2FB9"/>
    <w:rsid w:val="006C73B6"/>
    <w:rsid w:val="006D1BB0"/>
    <w:rsid w:val="006E299C"/>
    <w:rsid w:val="006E4CC7"/>
    <w:rsid w:val="006F0EF1"/>
    <w:rsid w:val="007150F0"/>
    <w:rsid w:val="00715F3D"/>
    <w:rsid w:val="00724C88"/>
    <w:rsid w:val="00742096"/>
    <w:rsid w:val="007513E0"/>
    <w:rsid w:val="00756B70"/>
    <w:rsid w:val="0076039E"/>
    <w:rsid w:val="00767A94"/>
    <w:rsid w:val="00772146"/>
    <w:rsid w:val="0078206C"/>
    <w:rsid w:val="0079050B"/>
    <w:rsid w:val="00793B6C"/>
    <w:rsid w:val="007A0804"/>
    <w:rsid w:val="007A111F"/>
    <w:rsid w:val="007A6BBE"/>
    <w:rsid w:val="007B54CB"/>
    <w:rsid w:val="007C4DDE"/>
    <w:rsid w:val="007C5A1B"/>
    <w:rsid w:val="007D6112"/>
    <w:rsid w:val="007D6C3A"/>
    <w:rsid w:val="007E72E1"/>
    <w:rsid w:val="007E7D08"/>
    <w:rsid w:val="008057F3"/>
    <w:rsid w:val="0081174D"/>
    <w:rsid w:val="00815E16"/>
    <w:rsid w:val="008204FE"/>
    <w:rsid w:val="00824BCF"/>
    <w:rsid w:val="00827398"/>
    <w:rsid w:val="008336CF"/>
    <w:rsid w:val="00847E74"/>
    <w:rsid w:val="00852436"/>
    <w:rsid w:val="008547D9"/>
    <w:rsid w:val="00860EBB"/>
    <w:rsid w:val="008633C7"/>
    <w:rsid w:val="008662E5"/>
    <w:rsid w:val="0087391D"/>
    <w:rsid w:val="008767C2"/>
    <w:rsid w:val="00882F9E"/>
    <w:rsid w:val="008B2708"/>
    <w:rsid w:val="008B5E2E"/>
    <w:rsid w:val="008C7D05"/>
    <w:rsid w:val="008D38EA"/>
    <w:rsid w:val="008D7BBE"/>
    <w:rsid w:val="008E2B42"/>
    <w:rsid w:val="008E7994"/>
    <w:rsid w:val="008E7C34"/>
    <w:rsid w:val="009060B6"/>
    <w:rsid w:val="00910226"/>
    <w:rsid w:val="00915EC2"/>
    <w:rsid w:val="00924033"/>
    <w:rsid w:val="00927EED"/>
    <w:rsid w:val="00940BDF"/>
    <w:rsid w:val="0094450A"/>
    <w:rsid w:val="009507AC"/>
    <w:rsid w:val="009654D6"/>
    <w:rsid w:val="00974966"/>
    <w:rsid w:val="0097611D"/>
    <w:rsid w:val="009A0AF2"/>
    <w:rsid w:val="009A0E0E"/>
    <w:rsid w:val="009A2843"/>
    <w:rsid w:val="009A619B"/>
    <w:rsid w:val="009C1135"/>
    <w:rsid w:val="009D1921"/>
    <w:rsid w:val="009D2515"/>
    <w:rsid w:val="009D4BDD"/>
    <w:rsid w:val="009D6856"/>
    <w:rsid w:val="009E1CAC"/>
    <w:rsid w:val="009F1048"/>
    <w:rsid w:val="009F1D06"/>
    <w:rsid w:val="00A00C83"/>
    <w:rsid w:val="00A10892"/>
    <w:rsid w:val="00A16FB6"/>
    <w:rsid w:val="00A27863"/>
    <w:rsid w:val="00A3256F"/>
    <w:rsid w:val="00A4032C"/>
    <w:rsid w:val="00A403E4"/>
    <w:rsid w:val="00A41F1D"/>
    <w:rsid w:val="00A478A9"/>
    <w:rsid w:val="00A52811"/>
    <w:rsid w:val="00A539D2"/>
    <w:rsid w:val="00A53DAA"/>
    <w:rsid w:val="00A564D2"/>
    <w:rsid w:val="00A56638"/>
    <w:rsid w:val="00A57002"/>
    <w:rsid w:val="00A6046E"/>
    <w:rsid w:val="00A6103B"/>
    <w:rsid w:val="00A62825"/>
    <w:rsid w:val="00A65E3F"/>
    <w:rsid w:val="00A7609F"/>
    <w:rsid w:val="00A85059"/>
    <w:rsid w:val="00A924C8"/>
    <w:rsid w:val="00AB0818"/>
    <w:rsid w:val="00AB0CC3"/>
    <w:rsid w:val="00AB6DE1"/>
    <w:rsid w:val="00AC3AD4"/>
    <w:rsid w:val="00AC430C"/>
    <w:rsid w:val="00AC60A3"/>
    <w:rsid w:val="00AC6723"/>
    <w:rsid w:val="00AD0461"/>
    <w:rsid w:val="00AD6184"/>
    <w:rsid w:val="00AE1CF1"/>
    <w:rsid w:val="00AE2671"/>
    <w:rsid w:val="00AE5ECB"/>
    <w:rsid w:val="00AF43D3"/>
    <w:rsid w:val="00B00FC6"/>
    <w:rsid w:val="00B03879"/>
    <w:rsid w:val="00B1165A"/>
    <w:rsid w:val="00B13D3F"/>
    <w:rsid w:val="00B1662C"/>
    <w:rsid w:val="00B1765A"/>
    <w:rsid w:val="00B237B6"/>
    <w:rsid w:val="00B24035"/>
    <w:rsid w:val="00B25949"/>
    <w:rsid w:val="00B306F2"/>
    <w:rsid w:val="00B315C7"/>
    <w:rsid w:val="00B3517B"/>
    <w:rsid w:val="00B3719F"/>
    <w:rsid w:val="00B40A02"/>
    <w:rsid w:val="00B44BAA"/>
    <w:rsid w:val="00B45AB9"/>
    <w:rsid w:val="00B52B5F"/>
    <w:rsid w:val="00B62FB0"/>
    <w:rsid w:val="00B71A43"/>
    <w:rsid w:val="00B74A7D"/>
    <w:rsid w:val="00B76B20"/>
    <w:rsid w:val="00B81617"/>
    <w:rsid w:val="00B90016"/>
    <w:rsid w:val="00B951FF"/>
    <w:rsid w:val="00BA4F39"/>
    <w:rsid w:val="00BA4F65"/>
    <w:rsid w:val="00BA74EC"/>
    <w:rsid w:val="00BB4C74"/>
    <w:rsid w:val="00BB563E"/>
    <w:rsid w:val="00BC1FA4"/>
    <w:rsid w:val="00BD12A3"/>
    <w:rsid w:val="00BE1494"/>
    <w:rsid w:val="00BF628E"/>
    <w:rsid w:val="00C035C2"/>
    <w:rsid w:val="00C03E1C"/>
    <w:rsid w:val="00C11943"/>
    <w:rsid w:val="00C15E09"/>
    <w:rsid w:val="00C174B9"/>
    <w:rsid w:val="00C338F3"/>
    <w:rsid w:val="00C3746C"/>
    <w:rsid w:val="00C424AA"/>
    <w:rsid w:val="00C45975"/>
    <w:rsid w:val="00C459DA"/>
    <w:rsid w:val="00C61576"/>
    <w:rsid w:val="00C62675"/>
    <w:rsid w:val="00C67E58"/>
    <w:rsid w:val="00C96E83"/>
    <w:rsid w:val="00CB49AA"/>
    <w:rsid w:val="00CC2E0C"/>
    <w:rsid w:val="00CC72CF"/>
    <w:rsid w:val="00CD7882"/>
    <w:rsid w:val="00CE3C42"/>
    <w:rsid w:val="00CE55F7"/>
    <w:rsid w:val="00CF423B"/>
    <w:rsid w:val="00CF733C"/>
    <w:rsid w:val="00D178AB"/>
    <w:rsid w:val="00D20CEA"/>
    <w:rsid w:val="00D217F9"/>
    <w:rsid w:val="00D24409"/>
    <w:rsid w:val="00D26504"/>
    <w:rsid w:val="00D30B5D"/>
    <w:rsid w:val="00D335F4"/>
    <w:rsid w:val="00D3399C"/>
    <w:rsid w:val="00D422D9"/>
    <w:rsid w:val="00D42CA5"/>
    <w:rsid w:val="00D4518C"/>
    <w:rsid w:val="00D539A0"/>
    <w:rsid w:val="00D6047F"/>
    <w:rsid w:val="00D64903"/>
    <w:rsid w:val="00D664AE"/>
    <w:rsid w:val="00D7089F"/>
    <w:rsid w:val="00D8069B"/>
    <w:rsid w:val="00D8111E"/>
    <w:rsid w:val="00D81680"/>
    <w:rsid w:val="00D84070"/>
    <w:rsid w:val="00D8525B"/>
    <w:rsid w:val="00D85A22"/>
    <w:rsid w:val="00D9646A"/>
    <w:rsid w:val="00DA5FB4"/>
    <w:rsid w:val="00DB4E93"/>
    <w:rsid w:val="00DB7704"/>
    <w:rsid w:val="00DC15E6"/>
    <w:rsid w:val="00DC3E22"/>
    <w:rsid w:val="00DC460F"/>
    <w:rsid w:val="00DD237E"/>
    <w:rsid w:val="00DD3F8E"/>
    <w:rsid w:val="00DE359A"/>
    <w:rsid w:val="00DE7AD1"/>
    <w:rsid w:val="00DF0F2B"/>
    <w:rsid w:val="00DF1FC7"/>
    <w:rsid w:val="00E00F8A"/>
    <w:rsid w:val="00E0459B"/>
    <w:rsid w:val="00E0525F"/>
    <w:rsid w:val="00E16190"/>
    <w:rsid w:val="00E20A0B"/>
    <w:rsid w:val="00E32633"/>
    <w:rsid w:val="00E3769D"/>
    <w:rsid w:val="00E3772D"/>
    <w:rsid w:val="00E61D38"/>
    <w:rsid w:val="00E62A82"/>
    <w:rsid w:val="00E65F0B"/>
    <w:rsid w:val="00E86DCB"/>
    <w:rsid w:val="00E86FB0"/>
    <w:rsid w:val="00E95D92"/>
    <w:rsid w:val="00EB4B34"/>
    <w:rsid w:val="00EB7A65"/>
    <w:rsid w:val="00EC4385"/>
    <w:rsid w:val="00F02F81"/>
    <w:rsid w:val="00F07440"/>
    <w:rsid w:val="00F0780E"/>
    <w:rsid w:val="00F14615"/>
    <w:rsid w:val="00F33EBF"/>
    <w:rsid w:val="00F41998"/>
    <w:rsid w:val="00F42EF2"/>
    <w:rsid w:val="00F43D68"/>
    <w:rsid w:val="00F635FD"/>
    <w:rsid w:val="00F63D55"/>
    <w:rsid w:val="00F645F4"/>
    <w:rsid w:val="00F66E3E"/>
    <w:rsid w:val="00F72C6E"/>
    <w:rsid w:val="00F76507"/>
    <w:rsid w:val="00F765F3"/>
    <w:rsid w:val="00F76C97"/>
    <w:rsid w:val="00F81312"/>
    <w:rsid w:val="00F82F46"/>
    <w:rsid w:val="00F91D90"/>
    <w:rsid w:val="00FA024A"/>
    <w:rsid w:val="00FA719B"/>
    <w:rsid w:val="00FB3A22"/>
    <w:rsid w:val="00FB44BA"/>
    <w:rsid w:val="00FC528E"/>
    <w:rsid w:val="00FC7D58"/>
    <w:rsid w:val="00FD53B0"/>
    <w:rsid w:val="00FF06F8"/>
    <w:rsid w:val="00FF52FB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79F986"/>
  <w15:docId w15:val="{1BC0A540-1209-4D34-9918-D1E546A0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6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F633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next w:val="Normal"/>
    <w:link w:val="HeaderChar"/>
    <w:uiPriority w:val="99"/>
    <w:rsid w:val="00866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62E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54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F633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3F633B"/>
    <w:rPr>
      <w:color w:val="0000FF"/>
      <w:u w:val="single"/>
    </w:rPr>
  </w:style>
  <w:style w:type="character" w:customStyle="1" w:styleId="tpa1">
    <w:name w:val="tpa1"/>
    <w:basedOn w:val="DefaultParagraphFont"/>
    <w:rsid w:val="002C2B0B"/>
  </w:style>
  <w:style w:type="paragraph" w:styleId="BalloonText">
    <w:name w:val="Balloon Text"/>
    <w:basedOn w:val="Normal"/>
    <w:link w:val="BalloonTextChar"/>
    <w:uiPriority w:val="99"/>
    <w:semiHidden/>
    <w:unhideWhenUsed/>
    <w:rsid w:val="009F1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6B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C6E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5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55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55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3719F"/>
    <w:pPr>
      <w:spacing w:before="160" w:after="240"/>
      <w:ind w:left="720"/>
      <w:contextualSpacing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ln2talineat">
    <w:name w:val="ln2talineat"/>
    <w:basedOn w:val="DefaultParagraphFont"/>
    <w:rsid w:val="002E1172"/>
  </w:style>
  <w:style w:type="character" w:customStyle="1" w:styleId="ln2alineat">
    <w:name w:val="ln2alineat"/>
    <w:basedOn w:val="DefaultParagraphFont"/>
    <w:rsid w:val="004C5288"/>
  </w:style>
  <w:style w:type="character" w:customStyle="1" w:styleId="salnttl">
    <w:name w:val="s_aln_ttl"/>
    <w:basedOn w:val="DefaultParagraphFont"/>
    <w:rsid w:val="004C5288"/>
  </w:style>
  <w:style w:type="character" w:customStyle="1" w:styleId="salnbdy">
    <w:name w:val="s_aln_bdy"/>
    <w:basedOn w:val="DefaultParagraphFont"/>
    <w:rsid w:val="004C5288"/>
  </w:style>
  <w:style w:type="character" w:customStyle="1" w:styleId="slit">
    <w:name w:val="s_lit"/>
    <w:basedOn w:val="DefaultParagraphFont"/>
    <w:rsid w:val="004C5288"/>
  </w:style>
  <w:style w:type="character" w:customStyle="1" w:styleId="slitttl">
    <w:name w:val="s_lit_ttl"/>
    <w:basedOn w:val="DefaultParagraphFont"/>
    <w:rsid w:val="004C5288"/>
  </w:style>
  <w:style w:type="character" w:customStyle="1" w:styleId="slitbdy">
    <w:name w:val="s_lit_bdy"/>
    <w:basedOn w:val="DefaultParagraphFont"/>
    <w:rsid w:val="004C5288"/>
  </w:style>
  <w:style w:type="character" w:customStyle="1" w:styleId="slgi">
    <w:name w:val="s_lgi"/>
    <w:basedOn w:val="DefaultParagraphFont"/>
    <w:rsid w:val="004C5288"/>
  </w:style>
  <w:style w:type="paragraph" w:styleId="Footer">
    <w:name w:val="footer"/>
    <w:basedOn w:val="Normal"/>
    <w:link w:val="FooterChar"/>
    <w:uiPriority w:val="99"/>
    <w:unhideWhenUsed/>
    <w:rsid w:val="00E0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891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3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52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6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ro/ro/guvernul/cabinetul-de-ministri/ministrul-sanatatii161901840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ov.ro/ro/guvernul/cabinetul-de-ministri/ministrul-finantel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v.ro/ro/guvernul/cabinetul-de-ministri/ministrul-economiei-antreprenoriatului-i-turismulu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EECA-E246-460F-8123-CFA08252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TRIF</dc:creator>
  <cp:lastModifiedBy>Iuliana Chidu</cp:lastModifiedBy>
  <cp:revision>2</cp:revision>
  <cp:lastPrinted>2021-05-26T08:40:00Z</cp:lastPrinted>
  <dcterms:created xsi:type="dcterms:W3CDTF">2021-06-16T10:35:00Z</dcterms:created>
  <dcterms:modified xsi:type="dcterms:W3CDTF">2021-06-16T10:35:00Z</dcterms:modified>
</cp:coreProperties>
</file>