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84CFD" w14:textId="04C9AB5D" w:rsidR="00D62DD7" w:rsidRPr="00B1304B" w:rsidRDefault="00EA54F9" w:rsidP="0077234F">
      <w:pPr>
        <w:ind w:left="0"/>
        <w:jc w:val="center"/>
        <w:rPr>
          <w:b/>
          <w:bCs/>
          <w:lang w:val="ro-RO"/>
        </w:rPr>
      </w:pPr>
      <w:r w:rsidRPr="00B1304B">
        <w:rPr>
          <w:b/>
          <w:bCs/>
          <w:lang w:val="ro-RO"/>
        </w:rPr>
        <w:t>I</w:t>
      </w:r>
      <w:r w:rsidR="0077234F" w:rsidRPr="00B1304B">
        <w:rPr>
          <w:b/>
          <w:bCs/>
          <w:lang w:val="ro-RO"/>
        </w:rPr>
        <w:t>NFORMARE</w:t>
      </w:r>
      <w:r w:rsidRPr="00B1304B">
        <w:rPr>
          <w:b/>
          <w:bCs/>
          <w:lang w:val="ro-RO"/>
        </w:rPr>
        <w:t xml:space="preserve"> DE PRESĂ</w:t>
      </w:r>
    </w:p>
    <w:p w14:paraId="2F8E5D0E" w14:textId="77777777" w:rsidR="00D62DD7" w:rsidRPr="00B1304B" w:rsidRDefault="00D62DD7" w:rsidP="0070674B">
      <w:pPr>
        <w:ind w:left="0"/>
        <w:rPr>
          <w:lang w:val="ro-RO"/>
        </w:rPr>
      </w:pPr>
    </w:p>
    <w:p w14:paraId="03949F15" w14:textId="0A728F3F" w:rsidR="002373E9" w:rsidRPr="00B1304B" w:rsidRDefault="002373E9" w:rsidP="0070674B">
      <w:pPr>
        <w:ind w:left="0"/>
        <w:rPr>
          <w:lang w:val="ro-RO"/>
        </w:rPr>
      </w:pPr>
      <w:r w:rsidRPr="00B1304B">
        <w:rPr>
          <w:lang w:val="ro-RO"/>
        </w:rPr>
        <w:tab/>
      </w:r>
      <w:r w:rsidRPr="00B1304B">
        <w:rPr>
          <w:lang w:val="ro-RO"/>
        </w:rPr>
        <w:tab/>
      </w:r>
      <w:r w:rsidRPr="00B1304B">
        <w:rPr>
          <w:lang w:val="ro-RO"/>
        </w:rPr>
        <w:tab/>
      </w:r>
      <w:r w:rsidRPr="00B1304B">
        <w:rPr>
          <w:lang w:val="ro-RO"/>
        </w:rPr>
        <w:tab/>
      </w:r>
      <w:r w:rsidRPr="00B1304B">
        <w:rPr>
          <w:lang w:val="ro-RO"/>
        </w:rPr>
        <w:tab/>
      </w:r>
      <w:r w:rsidRPr="00B1304B">
        <w:rPr>
          <w:lang w:val="ro-RO"/>
        </w:rPr>
        <w:tab/>
      </w:r>
      <w:r w:rsidRPr="00B1304B">
        <w:rPr>
          <w:lang w:val="ro-RO"/>
        </w:rPr>
        <w:tab/>
      </w:r>
      <w:r w:rsidRPr="00B1304B">
        <w:rPr>
          <w:lang w:val="ro-RO"/>
        </w:rPr>
        <w:tab/>
      </w:r>
      <w:r w:rsidR="004D51C0" w:rsidRPr="00B1304B">
        <w:rPr>
          <w:lang w:val="ro-RO"/>
        </w:rPr>
        <w:t xml:space="preserve">                     </w:t>
      </w:r>
      <w:r w:rsidR="00555261" w:rsidRPr="00B1304B">
        <w:rPr>
          <w:lang w:val="ro-RO"/>
        </w:rPr>
        <w:t xml:space="preserve">   </w:t>
      </w:r>
      <w:r w:rsidR="004D51C0" w:rsidRPr="00B1304B">
        <w:rPr>
          <w:lang w:val="ro-RO"/>
        </w:rPr>
        <w:t xml:space="preserve">    București, </w:t>
      </w:r>
      <w:r w:rsidR="0077234F" w:rsidRPr="00B1304B">
        <w:rPr>
          <w:lang w:val="ro-RO"/>
        </w:rPr>
        <w:t>8</w:t>
      </w:r>
      <w:r w:rsidR="00145A09" w:rsidRPr="00B1304B">
        <w:rPr>
          <w:lang w:val="ro-RO"/>
        </w:rPr>
        <w:t xml:space="preserve"> </w:t>
      </w:r>
      <w:r w:rsidR="0077234F" w:rsidRPr="00B1304B">
        <w:rPr>
          <w:lang w:val="ro-RO"/>
        </w:rPr>
        <w:t xml:space="preserve">martie </w:t>
      </w:r>
      <w:r w:rsidR="00D62DD7" w:rsidRPr="00B1304B">
        <w:rPr>
          <w:lang w:val="ro-RO"/>
        </w:rPr>
        <w:t>202</w:t>
      </w:r>
      <w:r w:rsidR="0077234F" w:rsidRPr="00B1304B">
        <w:rPr>
          <w:lang w:val="ro-RO"/>
        </w:rPr>
        <w:t>2</w:t>
      </w:r>
    </w:p>
    <w:p w14:paraId="67EE2718" w14:textId="77777777" w:rsidR="0077234F" w:rsidRPr="00B1304B" w:rsidRDefault="0077234F" w:rsidP="0070674B">
      <w:pPr>
        <w:ind w:left="0"/>
        <w:rPr>
          <w:lang w:val="ro-RO"/>
        </w:rPr>
      </w:pPr>
    </w:p>
    <w:p w14:paraId="77A7968F" w14:textId="29AAD7A8" w:rsidR="00C6313E" w:rsidRPr="00B1304B" w:rsidRDefault="00A25F4D" w:rsidP="00216D27">
      <w:pPr>
        <w:spacing w:before="120" w:line="360" w:lineRule="auto"/>
        <w:ind w:left="720"/>
        <w:rPr>
          <w:b/>
          <w:bCs/>
          <w:lang w:val="ro-RO"/>
        </w:rPr>
      </w:pPr>
      <w:r>
        <w:rPr>
          <w:b/>
          <w:bCs/>
          <w:lang w:val="ro-RO"/>
        </w:rPr>
        <w:t>REF: Ministrul mediului, apelor și p</w:t>
      </w:r>
      <w:r w:rsidR="0077234F" w:rsidRPr="00B1304B">
        <w:rPr>
          <w:b/>
          <w:bCs/>
          <w:lang w:val="ro-RO"/>
        </w:rPr>
        <w:t xml:space="preserve">ădurilor, Barna Tánczos, </w:t>
      </w:r>
      <w:r w:rsidR="00ED59F7" w:rsidRPr="00B1304B">
        <w:rPr>
          <w:b/>
          <w:bCs/>
          <w:lang w:val="ro-RO"/>
        </w:rPr>
        <w:t xml:space="preserve">a </w:t>
      </w:r>
      <w:r w:rsidR="00235B9D">
        <w:rPr>
          <w:b/>
          <w:bCs/>
          <w:lang w:val="ro-RO"/>
        </w:rPr>
        <w:t xml:space="preserve">participat la </w:t>
      </w:r>
      <w:r w:rsidR="0077234F" w:rsidRPr="00B1304B">
        <w:rPr>
          <w:b/>
          <w:bCs/>
          <w:lang w:val="ro-RO"/>
        </w:rPr>
        <w:t>semn</w:t>
      </w:r>
      <w:r w:rsidR="00235B9D">
        <w:rPr>
          <w:b/>
          <w:bCs/>
          <w:lang w:val="ro-RO"/>
        </w:rPr>
        <w:t>area</w:t>
      </w:r>
      <w:r w:rsidR="00216D27">
        <w:rPr>
          <w:b/>
          <w:bCs/>
          <w:lang w:val="ro-RO"/>
        </w:rPr>
        <w:t xml:space="preserve"> acordurilor </w:t>
      </w:r>
      <w:r w:rsidR="0077234F" w:rsidRPr="00B1304B">
        <w:rPr>
          <w:b/>
          <w:bCs/>
          <w:lang w:val="ro-RO"/>
        </w:rPr>
        <w:t xml:space="preserve">de </w:t>
      </w:r>
      <w:r w:rsidR="00235B9D" w:rsidRPr="00B1304B">
        <w:rPr>
          <w:b/>
          <w:bCs/>
          <w:lang w:val="ro-RO"/>
        </w:rPr>
        <w:t>finanțare</w:t>
      </w:r>
      <w:r w:rsidR="0077234F" w:rsidRPr="00B1304B">
        <w:rPr>
          <w:b/>
          <w:bCs/>
          <w:lang w:val="ro-RO"/>
        </w:rPr>
        <w:t xml:space="preserve"> între Ministerul Investițiilor și Proiectelor Europene și ministerele coordonatoare de reforme aferente PNRR.</w:t>
      </w:r>
      <w:bookmarkStart w:id="0" w:name="_GoBack"/>
      <w:bookmarkEnd w:id="0"/>
    </w:p>
    <w:p w14:paraId="6C7E78B1" w14:textId="77777777" w:rsidR="00145A09" w:rsidRPr="00B1304B" w:rsidRDefault="00145A09" w:rsidP="0070674B">
      <w:pPr>
        <w:spacing w:before="120" w:line="360" w:lineRule="auto"/>
        <w:ind w:left="1560"/>
        <w:rPr>
          <w:lang w:val="ro-RO"/>
        </w:rPr>
      </w:pPr>
    </w:p>
    <w:p w14:paraId="3683E4F6" w14:textId="77935B1C" w:rsidR="00ED59F7" w:rsidRPr="00B1304B" w:rsidRDefault="00216D27" w:rsidP="00ED59F7">
      <w:pPr>
        <w:spacing w:before="120" w:line="360" w:lineRule="auto"/>
        <w:ind w:left="720"/>
        <w:rPr>
          <w:lang w:val="ro-RO"/>
        </w:rPr>
      </w:pPr>
      <w:r>
        <w:rPr>
          <w:lang w:val="ro-RO"/>
        </w:rPr>
        <w:t>Ministrul mediului, apelor și p</w:t>
      </w:r>
      <w:r w:rsidR="00555261" w:rsidRPr="00B1304B">
        <w:rPr>
          <w:lang w:val="ro-RO"/>
        </w:rPr>
        <w:t xml:space="preserve">ădurilor, Barna Tánczos, </w:t>
      </w:r>
      <w:r w:rsidR="00E73DBC">
        <w:rPr>
          <w:lang w:val="ro-RO"/>
        </w:rPr>
        <w:t>a participat</w:t>
      </w:r>
      <w:r w:rsidR="000C5073" w:rsidRPr="00B1304B">
        <w:rPr>
          <w:lang w:val="ro-RO"/>
        </w:rPr>
        <w:t xml:space="preserve"> astăzi</w:t>
      </w:r>
      <w:r w:rsidR="00555261" w:rsidRPr="00B1304B">
        <w:rPr>
          <w:lang w:val="ro-RO"/>
        </w:rPr>
        <w:t xml:space="preserve">, </w:t>
      </w:r>
      <w:r w:rsidR="000C5073" w:rsidRPr="00B1304B">
        <w:rPr>
          <w:lang w:val="ro-RO"/>
        </w:rPr>
        <w:t xml:space="preserve"> 8 martie</w:t>
      </w:r>
      <w:r w:rsidR="00555261" w:rsidRPr="00B1304B">
        <w:rPr>
          <w:lang w:val="ro-RO"/>
        </w:rPr>
        <w:t>,  începând cu ora 1</w:t>
      </w:r>
      <w:r w:rsidR="000C5073" w:rsidRPr="00B1304B">
        <w:rPr>
          <w:lang w:val="ro-RO"/>
        </w:rPr>
        <w:t>3</w:t>
      </w:r>
      <w:r w:rsidR="00555261" w:rsidRPr="00B1304B">
        <w:rPr>
          <w:lang w:val="ro-RO"/>
        </w:rPr>
        <w:t xml:space="preserve">:00, la </w:t>
      </w:r>
      <w:r w:rsidR="009551BE" w:rsidRPr="00B1304B">
        <w:rPr>
          <w:lang w:val="ro-RO"/>
        </w:rPr>
        <w:t xml:space="preserve">sediul Guvernului, la ceremonia de semnare a acordurilor de </w:t>
      </w:r>
      <w:r w:rsidR="00235B9D" w:rsidRPr="00B1304B">
        <w:rPr>
          <w:lang w:val="ro-RO"/>
        </w:rPr>
        <w:t>finanțare</w:t>
      </w:r>
      <w:r w:rsidR="009551BE" w:rsidRPr="00B1304B">
        <w:rPr>
          <w:lang w:val="ro-RO"/>
        </w:rPr>
        <w:t xml:space="preserve"> între Ministerul Investițiilor și Proiectelor Europene și ministerele coordo</w:t>
      </w:r>
      <w:r w:rsidR="005A0294">
        <w:rPr>
          <w:lang w:val="ro-RO"/>
        </w:rPr>
        <w:t xml:space="preserve">natoare de reforme aferente </w:t>
      </w:r>
      <w:r w:rsidR="005A0294" w:rsidRPr="00B1304B">
        <w:rPr>
          <w:lang w:val="ro-RO"/>
        </w:rPr>
        <w:t>Planul</w:t>
      </w:r>
      <w:r w:rsidR="004D541D">
        <w:rPr>
          <w:lang w:val="ro-RO"/>
        </w:rPr>
        <w:t>ui</w:t>
      </w:r>
      <w:r w:rsidR="005A0294" w:rsidRPr="00B1304B">
        <w:rPr>
          <w:lang w:val="ro-RO"/>
        </w:rPr>
        <w:t xml:space="preserve"> Național de Redresare și Reziliență (</w:t>
      </w:r>
      <w:r w:rsidR="004D541D">
        <w:rPr>
          <w:lang w:val="ro-RO"/>
        </w:rPr>
        <w:t>PNRR)</w:t>
      </w:r>
      <w:r w:rsidR="009551BE" w:rsidRPr="00B1304B">
        <w:rPr>
          <w:lang w:val="ro-RO"/>
        </w:rPr>
        <w:t>.</w:t>
      </w:r>
    </w:p>
    <w:p w14:paraId="75F206C4" w14:textId="7FE14A59" w:rsidR="00ED59F7" w:rsidRPr="00B1304B" w:rsidRDefault="00ED59F7" w:rsidP="00ED59F7">
      <w:pPr>
        <w:spacing w:before="120" w:line="360" w:lineRule="auto"/>
        <w:ind w:left="720"/>
        <w:rPr>
          <w:i/>
          <w:iCs/>
          <w:lang w:val="ro-RO"/>
        </w:rPr>
      </w:pPr>
      <w:r w:rsidRPr="00B1304B">
        <w:rPr>
          <w:lang w:val="ro-RO"/>
        </w:rPr>
        <w:t>”</w:t>
      </w:r>
      <w:r w:rsidRPr="00B1304B">
        <w:rPr>
          <w:i/>
          <w:iCs/>
          <w:lang w:val="ro-RO"/>
        </w:rPr>
        <w:t xml:space="preserve">Managementul apei este un domeniu foarte important, vom avea peste 1 miliard de euro buget pentru dezvoltarea sistemelor de apă </w:t>
      </w:r>
      <w:r w:rsidR="00E73DBC">
        <w:rPr>
          <w:i/>
          <w:iCs/>
          <w:lang w:val="ro-RO"/>
        </w:rPr>
        <w:t>ș</w:t>
      </w:r>
      <w:r w:rsidRPr="00B1304B">
        <w:rPr>
          <w:i/>
          <w:iCs/>
          <w:lang w:val="ro-RO"/>
        </w:rPr>
        <w:t xml:space="preserve">i canalizare în România. Avem </w:t>
      </w:r>
      <w:proofErr w:type="spellStart"/>
      <w:r w:rsidRPr="00B1304B">
        <w:rPr>
          <w:i/>
          <w:iCs/>
          <w:lang w:val="ro-RO"/>
        </w:rPr>
        <w:t>infri</w:t>
      </w:r>
      <w:r w:rsidR="00E73DBC">
        <w:rPr>
          <w:i/>
          <w:iCs/>
          <w:lang w:val="ro-RO"/>
        </w:rPr>
        <w:t>n</w:t>
      </w:r>
      <w:r w:rsidRPr="00B1304B">
        <w:rPr>
          <w:i/>
          <w:iCs/>
          <w:lang w:val="ro-RO"/>
        </w:rPr>
        <w:t>gement</w:t>
      </w:r>
      <w:proofErr w:type="spellEnd"/>
      <w:r w:rsidRPr="00B1304B">
        <w:rPr>
          <w:i/>
          <w:iCs/>
          <w:lang w:val="ro-RO"/>
        </w:rPr>
        <w:t xml:space="preserve"> la acest capitol </w:t>
      </w:r>
      <w:proofErr w:type="spellStart"/>
      <w:r w:rsidRPr="00B1304B">
        <w:rPr>
          <w:i/>
          <w:iCs/>
          <w:lang w:val="ro-RO"/>
        </w:rPr>
        <w:t>şi</w:t>
      </w:r>
      <w:proofErr w:type="spellEnd"/>
      <w:r w:rsidRPr="00B1304B">
        <w:rPr>
          <w:i/>
          <w:iCs/>
          <w:lang w:val="ro-RO"/>
        </w:rPr>
        <w:t xml:space="preserve"> </w:t>
      </w:r>
      <w:r w:rsidR="008E03BB">
        <w:rPr>
          <w:i/>
          <w:iCs/>
          <w:lang w:val="ro-RO"/>
        </w:rPr>
        <w:t>avem nevoie</w:t>
      </w:r>
      <w:r w:rsidRPr="00B1304B">
        <w:rPr>
          <w:i/>
          <w:iCs/>
          <w:lang w:val="ro-RO"/>
        </w:rPr>
        <w:t xml:space="preserve"> rezultate concrete, </w:t>
      </w:r>
      <w:r w:rsidR="008E03BB">
        <w:rPr>
          <w:i/>
          <w:iCs/>
          <w:lang w:val="ro-RO"/>
        </w:rPr>
        <w:t xml:space="preserve">ca </w:t>
      </w:r>
      <w:r w:rsidRPr="00B1304B">
        <w:rPr>
          <w:i/>
          <w:iCs/>
          <w:lang w:val="ro-RO"/>
        </w:rPr>
        <w:t xml:space="preserve">să demonstrăm Comisiei că suntem în măsură să tratăm aceste probleme </w:t>
      </w:r>
      <w:proofErr w:type="spellStart"/>
      <w:r w:rsidRPr="00B1304B">
        <w:rPr>
          <w:i/>
          <w:iCs/>
          <w:lang w:val="ro-RO"/>
        </w:rPr>
        <w:t>aşa</w:t>
      </w:r>
      <w:proofErr w:type="spellEnd"/>
      <w:r w:rsidRPr="00B1304B">
        <w:rPr>
          <w:i/>
          <w:iCs/>
          <w:lang w:val="ro-RO"/>
        </w:rPr>
        <w:t xml:space="preserve"> cum trebuie. </w:t>
      </w:r>
    </w:p>
    <w:p w14:paraId="7E48D3BE" w14:textId="188CD9DB" w:rsidR="00ED59F7" w:rsidRPr="00B1304B" w:rsidRDefault="00ED59F7" w:rsidP="00ED59F7">
      <w:pPr>
        <w:spacing w:before="120" w:line="360" w:lineRule="auto"/>
        <w:ind w:left="720"/>
        <w:rPr>
          <w:i/>
          <w:iCs/>
          <w:lang w:val="ro-RO"/>
        </w:rPr>
      </w:pPr>
      <w:r w:rsidRPr="00B1304B">
        <w:rPr>
          <w:i/>
          <w:iCs/>
          <w:lang w:val="ro-RO"/>
        </w:rPr>
        <w:t xml:space="preserve">A doua componentă, la fel de importantă, este partea </w:t>
      </w:r>
      <w:r w:rsidR="008E03BB">
        <w:rPr>
          <w:i/>
          <w:iCs/>
          <w:lang w:val="ro-RO"/>
        </w:rPr>
        <w:t xml:space="preserve">de </w:t>
      </w:r>
      <w:proofErr w:type="spellStart"/>
      <w:r w:rsidR="008E03BB">
        <w:rPr>
          <w:i/>
          <w:iCs/>
          <w:lang w:val="ro-RO"/>
        </w:rPr>
        <w:t>protecţie</w:t>
      </w:r>
      <w:proofErr w:type="spellEnd"/>
      <w:r w:rsidR="008E03BB">
        <w:rPr>
          <w:i/>
          <w:iCs/>
          <w:lang w:val="ro-RO"/>
        </w:rPr>
        <w:t xml:space="preserve"> a </w:t>
      </w:r>
      <w:proofErr w:type="spellStart"/>
      <w:r w:rsidR="008E03BB">
        <w:rPr>
          <w:i/>
          <w:iCs/>
          <w:lang w:val="ro-RO"/>
        </w:rPr>
        <w:t>biodiversităţii</w:t>
      </w:r>
      <w:proofErr w:type="spellEnd"/>
      <w:r w:rsidR="008E03BB">
        <w:rPr>
          <w:i/>
          <w:iCs/>
          <w:lang w:val="ro-RO"/>
        </w:rPr>
        <w:t>. A</w:t>
      </w:r>
      <w:r w:rsidRPr="00B1304B">
        <w:rPr>
          <w:i/>
          <w:iCs/>
          <w:lang w:val="ro-RO"/>
        </w:rPr>
        <w:t xml:space="preserve">ici vom avea peste 600 de milioane pentru împăduriri </w:t>
      </w:r>
      <w:proofErr w:type="spellStart"/>
      <w:r w:rsidRPr="00B1304B">
        <w:rPr>
          <w:i/>
          <w:iCs/>
          <w:lang w:val="ro-RO"/>
        </w:rPr>
        <w:t>şi</w:t>
      </w:r>
      <w:proofErr w:type="spellEnd"/>
      <w:r w:rsidRPr="00B1304B">
        <w:rPr>
          <w:i/>
          <w:iCs/>
          <w:lang w:val="ro-RO"/>
        </w:rPr>
        <w:t xml:space="preserve"> sute de milioane pentru biodiversitate, pentru planuri de management, pentru refacere de habitat, pentru protejarea </w:t>
      </w:r>
      <w:proofErr w:type="spellStart"/>
      <w:r w:rsidRPr="00B1304B">
        <w:rPr>
          <w:i/>
          <w:iCs/>
          <w:lang w:val="ro-RO"/>
        </w:rPr>
        <w:t>pajiştilor</w:t>
      </w:r>
      <w:proofErr w:type="spellEnd"/>
      <w:r w:rsidRPr="00B1304B">
        <w:rPr>
          <w:i/>
          <w:iCs/>
          <w:lang w:val="ro-RO"/>
        </w:rPr>
        <w:t xml:space="preserve"> cu înaltă valoare genetică. </w:t>
      </w:r>
    </w:p>
    <w:p w14:paraId="1E549215" w14:textId="6E8E675F" w:rsidR="00ED59F7" w:rsidRPr="00B1304B" w:rsidRDefault="00ED59F7" w:rsidP="00ED59F7">
      <w:pPr>
        <w:spacing w:before="120" w:line="360" w:lineRule="auto"/>
        <w:ind w:left="720"/>
        <w:rPr>
          <w:i/>
          <w:iCs/>
          <w:lang w:val="ro-RO"/>
        </w:rPr>
      </w:pPr>
      <w:r w:rsidRPr="00B1304B">
        <w:rPr>
          <w:i/>
          <w:iCs/>
          <w:lang w:val="ro-RO"/>
        </w:rPr>
        <w:t xml:space="preserve">Managementul </w:t>
      </w:r>
      <w:proofErr w:type="spellStart"/>
      <w:r w:rsidRPr="00B1304B">
        <w:rPr>
          <w:i/>
          <w:iCs/>
          <w:lang w:val="ro-RO"/>
        </w:rPr>
        <w:t>deşeurilor</w:t>
      </w:r>
      <w:proofErr w:type="spellEnd"/>
      <w:r w:rsidR="006B7A42">
        <w:rPr>
          <w:i/>
          <w:iCs/>
          <w:lang w:val="ro-RO"/>
        </w:rPr>
        <w:t xml:space="preserve"> este</w:t>
      </w:r>
      <w:r w:rsidRPr="00B1304B">
        <w:rPr>
          <w:i/>
          <w:iCs/>
          <w:lang w:val="ro-RO"/>
        </w:rPr>
        <w:t xml:space="preserve"> a treia componentă care beneficiază de fonduri</w:t>
      </w:r>
      <w:r w:rsidR="006B7A42">
        <w:rPr>
          <w:i/>
          <w:iCs/>
          <w:lang w:val="ro-RO"/>
        </w:rPr>
        <w:t xml:space="preserve">: </w:t>
      </w:r>
      <w:r w:rsidRPr="00B1304B">
        <w:rPr>
          <w:i/>
          <w:iCs/>
          <w:lang w:val="ro-RO"/>
        </w:rPr>
        <w:t>pentru platformele</w:t>
      </w:r>
      <w:r w:rsidR="00E73DBC">
        <w:rPr>
          <w:i/>
          <w:iCs/>
          <w:lang w:val="ro-RO"/>
        </w:rPr>
        <w:t xml:space="preserve"> de</w:t>
      </w:r>
      <w:r w:rsidRPr="00B1304B">
        <w:rPr>
          <w:i/>
          <w:iCs/>
          <w:lang w:val="ro-RO"/>
        </w:rPr>
        <w:t xml:space="preserve"> depozitare voluntară a </w:t>
      </w:r>
      <w:proofErr w:type="spellStart"/>
      <w:r w:rsidRPr="00B1304B">
        <w:rPr>
          <w:i/>
          <w:iCs/>
          <w:lang w:val="ro-RO"/>
        </w:rPr>
        <w:t>deşeurilor</w:t>
      </w:r>
      <w:proofErr w:type="spellEnd"/>
      <w:r w:rsidRPr="00B1304B">
        <w:rPr>
          <w:i/>
          <w:iCs/>
          <w:lang w:val="ro-RO"/>
        </w:rPr>
        <w:t xml:space="preserve"> nemenajere</w:t>
      </w:r>
      <w:r w:rsidR="006B7A42">
        <w:rPr>
          <w:i/>
          <w:iCs/>
          <w:lang w:val="ro-RO"/>
        </w:rPr>
        <w:t xml:space="preserve"> (</w:t>
      </w:r>
      <w:r w:rsidRPr="00B1304B">
        <w:rPr>
          <w:i/>
          <w:iCs/>
          <w:lang w:val="ro-RO"/>
        </w:rPr>
        <w:t xml:space="preserve">cele care nu se ridică de </w:t>
      </w:r>
      <w:r w:rsidR="008E03BB">
        <w:rPr>
          <w:i/>
          <w:iCs/>
          <w:lang w:val="ro-RO"/>
        </w:rPr>
        <w:t xml:space="preserve">către </w:t>
      </w:r>
      <w:r w:rsidRPr="00B1304B">
        <w:rPr>
          <w:i/>
          <w:iCs/>
          <w:lang w:val="ro-RO"/>
        </w:rPr>
        <w:t>firmele de salubrizare</w:t>
      </w:r>
      <w:r w:rsidR="006B7A42">
        <w:rPr>
          <w:i/>
          <w:iCs/>
          <w:lang w:val="ro-RO"/>
        </w:rPr>
        <w:t xml:space="preserve">) </w:t>
      </w:r>
      <w:proofErr w:type="spellStart"/>
      <w:r w:rsidRPr="00B1304B">
        <w:rPr>
          <w:i/>
          <w:iCs/>
          <w:lang w:val="ro-RO"/>
        </w:rPr>
        <w:t>şi</w:t>
      </w:r>
      <w:proofErr w:type="spellEnd"/>
      <w:r w:rsidRPr="00B1304B">
        <w:rPr>
          <w:i/>
          <w:iCs/>
          <w:lang w:val="ro-RO"/>
        </w:rPr>
        <w:t xml:space="preserve"> aici vom avea peste 500 de primării care vor putea beneficia de </w:t>
      </w:r>
      <w:proofErr w:type="spellStart"/>
      <w:r w:rsidRPr="00B1304B">
        <w:rPr>
          <w:i/>
          <w:iCs/>
          <w:lang w:val="ro-RO"/>
        </w:rPr>
        <w:t>finanţare</w:t>
      </w:r>
      <w:proofErr w:type="spellEnd"/>
      <w:r w:rsidRPr="00B1304B">
        <w:rPr>
          <w:i/>
          <w:iCs/>
          <w:lang w:val="ro-RO"/>
        </w:rPr>
        <w:t xml:space="preserve"> pentru a realiza asemenea platforme</w:t>
      </w:r>
      <w:r w:rsidR="00C240F0">
        <w:rPr>
          <w:i/>
          <w:iCs/>
          <w:lang w:val="ro-RO"/>
        </w:rPr>
        <w:t>;</w:t>
      </w:r>
      <w:r w:rsidRPr="00B1304B">
        <w:rPr>
          <w:i/>
          <w:iCs/>
          <w:lang w:val="ro-RO"/>
        </w:rPr>
        <w:t xml:space="preserve"> vom </w:t>
      </w:r>
      <w:proofErr w:type="spellStart"/>
      <w:r w:rsidRPr="00B1304B">
        <w:rPr>
          <w:i/>
          <w:iCs/>
          <w:lang w:val="ro-RO"/>
        </w:rPr>
        <w:t>finanţa</w:t>
      </w:r>
      <w:proofErr w:type="spellEnd"/>
      <w:r w:rsidRPr="00B1304B">
        <w:rPr>
          <w:i/>
          <w:iCs/>
          <w:lang w:val="ro-RO"/>
        </w:rPr>
        <w:t xml:space="preserve">, de asemenea, 15 platforme mari pentru zonele urbane, acolo unde pot fi depozitate </w:t>
      </w:r>
      <w:proofErr w:type="spellStart"/>
      <w:r w:rsidRPr="00B1304B">
        <w:rPr>
          <w:i/>
          <w:iCs/>
          <w:lang w:val="ro-RO"/>
        </w:rPr>
        <w:t>deşeurile</w:t>
      </w:r>
      <w:proofErr w:type="spellEnd"/>
      <w:r w:rsidRPr="00B1304B">
        <w:rPr>
          <w:i/>
          <w:iCs/>
          <w:lang w:val="ro-RO"/>
        </w:rPr>
        <w:t xml:space="preserve"> din </w:t>
      </w:r>
      <w:proofErr w:type="spellStart"/>
      <w:r w:rsidRPr="00B1304B">
        <w:rPr>
          <w:i/>
          <w:iCs/>
          <w:lang w:val="ro-RO"/>
        </w:rPr>
        <w:t>construcţii</w:t>
      </w:r>
      <w:proofErr w:type="spellEnd"/>
      <w:r w:rsidRPr="00B1304B">
        <w:rPr>
          <w:i/>
          <w:iCs/>
          <w:lang w:val="ro-RO"/>
        </w:rPr>
        <w:t xml:space="preserve">, </w:t>
      </w:r>
      <w:proofErr w:type="spellStart"/>
      <w:r w:rsidRPr="00B1304B">
        <w:rPr>
          <w:i/>
          <w:iCs/>
          <w:lang w:val="ro-RO"/>
        </w:rPr>
        <w:t>deşeurile</w:t>
      </w:r>
      <w:proofErr w:type="spellEnd"/>
      <w:r w:rsidRPr="00B1304B">
        <w:rPr>
          <w:i/>
          <w:iCs/>
          <w:lang w:val="ro-RO"/>
        </w:rPr>
        <w:t xml:space="preserve"> de metal, de plastic, de lemn, cauciucurile, </w:t>
      </w:r>
      <w:proofErr w:type="spellStart"/>
      <w:r w:rsidRPr="00B1304B">
        <w:rPr>
          <w:i/>
          <w:iCs/>
          <w:lang w:val="ro-RO"/>
        </w:rPr>
        <w:t>deşeurile</w:t>
      </w:r>
      <w:proofErr w:type="spellEnd"/>
      <w:r w:rsidRPr="00B1304B">
        <w:rPr>
          <w:i/>
          <w:iCs/>
          <w:lang w:val="ro-RO"/>
        </w:rPr>
        <w:t xml:space="preserve"> periculoase, toate </w:t>
      </w:r>
      <w:proofErr w:type="spellStart"/>
      <w:r w:rsidRPr="00B1304B">
        <w:rPr>
          <w:i/>
          <w:iCs/>
          <w:lang w:val="ro-RO"/>
        </w:rPr>
        <w:t>deşeurile</w:t>
      </w:r>
      <w:proofErr w:type="spellEnd"/>
      <w:r w:rsidRPr="00B1304B">
        <w:rPr>
          <w:i/>
          <w:iCs/>
          <w:lang w:val="ro-RO"/>
        </w:rPr>
        <w:t xml:space="preserve"> care ulterior pot ajunge la reciclare </w:t>
      </w:r>
      <w:proofErr w:type="spellStart"/>
      <w:r w:rsidRPr="00B1304B">
        <w:rPr>
          <w:i/>
          <w:iCs/>
          <w:lang w:val="ro-RO"/>
        </w:rPr>
        <w:t>şi</w:t>
      </w:r>
      <w:proofErr w:type="spellEnd"/>
      <w:r w:rsidRPr="00B1304B">
        <w:rPr>
          <w:i/>
          <w:iCs/>
          <w:lang w:val="ro-RO"/>
        </w:rPr>
        <w:t xml:space="preserve"> pot reintra în circuitul economic.</w:t>
      </w:r>
    </w:p>
    <w:p w14:paraId="282A22E6" w14:textId="6F8522DF" w:rsidR="00ED59F7" w:rsidRPr="00B1304B" w:rsidRDefault="00ED59F7" w:rsidP="00ED59F7">
      <w:pPr>
        <w:spacing w:before="120" w:line="360" w:lineRule="auto"/>
        <w:ind w:left="720"/>
        <w:rPr>
          <w:lang w:val="ro-RO"/>
        </w:rPr>
      </w:pPr>
      <w:r w:rsidRPr="00B1304B">
        <w:rPr>
          <w:i/>
          <w:iCs/>
          <w:lang w:val="ro-RO"/>
        </w:rPr>
        <w:t>Avem și o componentă de digitalizare în domeniul mediului</w:t>
      </w:r>
      <w:r w:rsidR="005A0294">
        <w:rPr>
          <w:i/>
          <w:iCs/>
          <w:lang w:val="ro-RO"/>
        </w:rPr>
        <w:t>, cu un buget de</w:t>
      </w:r>
      <w:r w:rsidRPr="00B1304B">
        <w:rPr>
          <w:i/>
          <w:iCs/>
          <w:lang w:val="ro-RO"/>
        </w:rPr>
        <w:t xml:space="preserve"> </w:t>
      </w:r>
      <w:r w:rsidR="00B1304B" w:rsidRPr="00B1304B">
        <w:rPr>
          <w:i/>
          <w:iCs/>
          <w:lang w:val="ro-RO"/>
        </w:rPr>
        <w:t xml:space="preserve">48 </w:t>
      </w:r>
      <w:r w:rsidR="005A0294">
        <w:rPr>
          <w:i/>
          <w:iCs/>
          <w:lang w:val="ro-RO"/>
        </w:rPr>
        <w:t xml:space="preserve">de </w:t>
      </w:r>
      <w:r w:rsidR="00B1304B" w:rsidRPr="00B1304B">
        <w:rPr>
          <w:i/>
          <w:iCs/>
          <w:lang w:val="ro-RO"/>
        </w:rPr>
        <w:t>milioane</w:t>
      </w:r>
      <w:r w:rsidR="005A0294">
        <w:rPr>
          <w:i/>
          <w:iCs/>
          <w:lang w:val="ro-RO"/>
        </w:rPr>
        <w:t xml:space="preserve"> de</w:t>
      </w:r>
      <w:r w:rsidR="00B1304B" w:rsidRPr="00B1304B">
        <w:rPr>
          <w:i/>
          <w:iCs/>
          <w:lang w:val="ro-RO"/>
        </w:rPr>
        <w:t xml:space="preserve"> euro. Din această sum</w:t>
      </w:r>
      <w:r w:rsidR="00E73DBC">
        <w:rPr>
          <w:i/>
          <w:iCs/>
          <w:lang w:val="ro-RO"/>
        </w:rPr>
        <w:t>ă</w:t>
      </w:r>
      <w:r w:rsidR="00B1304B" w:rsidRPr="00B1304B">
        <w:rPr>
          <w:i/>
          <w:iCs/>
          <w:lang w:val="ro-RO"/>
        </w:rPr>
        <w:t xml:space="preserve"> vom dezvolta sistemul SUMAL și vom digitaliza mai multe servicii care intră în </w:t>
      </w:r>
      <w:r w:rsidR="00B1304B">
        <w:rPr>
          <w:i/>
          <w:iCs/>
          <w:lang w:val="ro-RO"/>
        </w:rPr>
        <w:t>sfera ANPM.</w:t>
      </w:r>
      <w:r w:rsidRPr="00B1304B">
        <w:rPr>
          <w:i/>
          <w:iCs/>
          <w:lang w:val="ro-RO"/>
        </w:rPr>
        <w:t xml:space="preserve">”, </w:t>
      </w:r>
      <w:r w:rsidRPr="00B1304B">
        <w:rPr>
          <w:lang w:val="ro-RO"/>
        </w:rPr>
        <w:t>a declarat ministrul</w:t>
      </w:r>
      <w:r w:rsidRPr="00B1304B">
        <w:rPr>
          <w:i/>
          <w:iCs/>
          <w:lang w:val="ro-RO"/>
        </w:rPr>
        <w:t xml:space="preserve"> </w:t>
      </w:r>
      <w:r w:rsidRPr="00B1304B">
        <w:rPr>
          <w:lang w:val="ro-RO"/>
        </w:rPr>
        <w:t>Barna Tánczos.</w:t>
      </w:r>
    </w:p>
    <w:p w14:paraId="2A641E38" w14:textId="5908CF46" w:rsidR="004E5E30" w:rsidRPr="00B1304B" w:rsidRDefault="004E5E30" w:rsidP="0070674B">
      <w:pPr>
        <w:spacing w:before="120" w:line="360" w:lineRule="auto"/>
        <w:ind w:left="720"/>
        <w:rPr>
          <w:lang w:val="ro-RO"/>
        </w:rPr>
      </w:pPr>
      <w:r w:rsidRPr="00B1304B">
        <w:rPr>
          <w:lang w:val="ro-RO"/>
        </w:rPr>
        <w:lastRenderedPageBreak/>
        <w:t xml:space="preserve">România are la dispoziție circa 29,2 miliarde de euro de la UE pentru proiectele din </w:t>
      </w:r>
      <w:r w:rsidR="004D541D">
        <w:rPr>
          <w:lang w:val="ro-RO"/>
        </w:rPr>
        <w:t>PNRR</w:t>
      </w:r>
      <w:r w:rsidRPr="00B1304B">
        <w:rPr>
          <w:lang w:val="ro-RO"/>
        </w:rPr>
        <w:t xml:space="preserve">. Măsurile de sprijinire a obiectivelor privind schimbările climatice prevăzute se ridică la </w:t>
      </w:r>
      <w:r w:rsidR="004D541D">
        <w:rPr>
          <w:lang w:val="ro-RO"/>
        </w:rPr>
        <w:t>aproximativ</w:t>
      </w:r>
      <w:r w:rsidR="00ED59F7" w:rsidRPr="00B1304B">
        <w:rPr>
          <w:lang w:val="ro-RO"/>
        </w:rPr>
        <w:t xml:space="preserve"> 12</w:t>
      </w:r>
      <w:r w:rsidRPr="00B1304B">
        <w:rPr>
          <w:lang w:val="ro-RO"/>
        </w:rPr>
        <w:t xml:space="preserve"> mili</w:t>
      </w:r>
      <w:r w:rsidR="00ED59F7" w:rsidRPr="00B1304B">
        <w:rPr>
          <w:lang w:val="ro-RO"/>
        </w:rPr>
        <w:t>ard</w:t>
      </w:r>
      <w:r w:rsidRPr="00B1304B">
        <w:rPr>
          <w:lang w:val="ro-RO"/>
        </w:rPr>
        <w:t xml:space="preserve">e </w:t>
      </w:r>
      <w:r w:rsidR="004D541D">
        <w:rPr>
          <w:lang w:val="ro-RO"/>
        </w:rPr>
        <w:t>de euro</w:t>
      </w:r>
      <w:r w:rsidRPr="00B1304B">
        <w:rPr>
          <w:lang w:val="ro-RO"/>
        </w:rPr>
        <w:t>, ceea ce reprezintă 41 % din suma totală alocată prin plan.</w:t>
      </w:r>
    </w:p>
    <w:p w14:paraId="64A474E1" w14:textId="651A8B15" w:rsidR="004E5E30" w:rsidRPr="00B1304B" w:rsidRDefault="004E5E30" w:rsidP="0070674B">
      <w:pPr>
        <w:spacing w:before="120" w:line="360" w:lineRule="auto"/>
        <w:ind w:left="720"/>
        <w:rPr>
          <w:lang w:val="ro-RO"/>
        </w:rPr>
      </w:pPr>
      <w:r w:rsidRPr="00B1304B">
        <w:rPr>
          <w:lang w:val="ro-RO"/>
        </w:rPr>
        <w:t>Măsurile prevăzute în PNRR vor contribui în mod eficace la tranziția verde și la abordarea provocărilor generate de aceasta. Astfel, PNRR sprijină obiectivele României privind decarbonizarea și tranziția energetică, astfel cum sunt prevăzute în planul național privind energia și clima.</w:t>
      </w:r>
    </w:p>
    <w:p w14:paraId="43EDF476" w14:textId="492F3BDF" w:rsidR="007C5885" w:rsidRPr="00B1304B" w:rsidRDefault="00970A41" w:rsidP="0070674B">
      <w:pPr>
        <w:spacing w:before="120" w:line="360" w:lineRule="auto"/>
        <w:ind w:left="720"/>
        <w:rPr>
          <w:lang w:val="ro-RO"/>
        </w:rPr>
      </w:pPr>
      <w:r w:rsidRPr="00B1304B">
        <w:rPr>
          <w:lang w:val="ro-RO"/>
        </w:rPr>
        <w:t xml:space="preserve">Componenta </w:t>
      </w:r>
      <w:r w:rsidR="004D541D">
        <w:rPr>
          <w:b/>
          <w:bCs/>
          <w:lang w:val="ro-RO"/>
        </w:rPr>
        <w:t xml:space="preserve">C1 - </w:t>
      </w:r>
      <w:r w:rsidR="007C5885" w:rsidRPr="00B1304B">
        <w:rPr>
          <w:b/>
          <w:bCs/>
          <w:lang w:val="ro-RO"/>
        </w:rPr>
        <w:t>Managementul apei</w:t>
      </w:r>
      <w:r w:rsidR="00235598">
        <w:rPr>
          <w:b/>
          <w:bCs/>
          <w:lang w:val="ro-RO"/>
        </w:rPr>
        <w:t>,</w:t>
      </w:r>
      <w:r w:rsidR="007C5885" w:rsidRPr="00B1304B">
        <w:rPr>
          <w:lang w:val="ro-RO"/>
        </w:rPr>
        <w:t xml:space="preserve"> </w:t>
      </w:r>
      <w:r w:rsidRPr="00B1304B">
        <w:rPr>
          <w:lang w:val="ro-RO"/>
        </w:rPr>
        <w:t xml:space="preserve">gestionată de </w:t>
      </w:r>
      <w:r w:rsidR="00235598">
        <w:rPr>
          <w:lang w:val="ro-RO"/>
        </w:rPr>
        <w:t>MMAP</w:t>
      </w:r>
      <w:r w:rsidRPr="00B1304B">
        <w:rPr>
          <w:lang w:val="ro-RO"/>
        </w:rPr>
        <w:t xml:space="preserve">, </w:t>
      </w:r>
      <w:r w:rsidR="00235598">
        <w:rPr>
          <w:lang w:val="ro-RO"/>
        </w:rPr>
        <w:t xml:space="preserve">are un buget </w:t>
      </w:r>
      <w:r w:rsidRPr="00B1304B">
        <w:rPr>
          <w:lang w:val="ro-RO"/>
        </w:rPr>
        <w:t xml:space="preserve">de </w:t>
      </w:r>
      <w:r w:rsidR="007C5885" w:rsidRPr="00B1304B">
        <w:rPr>
          <w:lang w:val="ro-RO"/>
        </w:rPr>
        <w:t xml:space="preserve">1,462 miliarde </w:t>
      </w:r>
      <w:r w:rsidR="00235598">
        <w:rPr>
          <w:lang w:val="ro-RO"/>
        </w:rPr>
        <w:t xml:space="preserve">de </w:t>
      </w:r>
      <w:r w:rsidR="007C5885" w:rsidRPr="00B1304B">
        <w:rPr>
          <w:lang w:val="ro-RO"/>
        </w:rPr>
        <w:t>euro.</w:t>
      </w:r>
      <w:r w:rsidRPr="00B1304B">
        <w:rPr>
          <w:lang w:val="ro-RO"/>
        </w:rPr>
        <w:t xml:space="preserve"> Printre reformele care vor fi realizate se află c</w:t>
      </w:r>
      <w:r w:rsidR="007C5885" w:rsidRPr="00B1304B">
        <w:rPr>
          <w:lang w:val="ro-RO"/>
        </w:rPr>
        <w:t>onsolidarea cadrului de reglementare pentru managementul sustenabil al</w:t>
      </w:r>
      <w:r w:rsidRPr="00B1304B">
        <w:rPr>
          <w:lang w:val="ro-RO"/>
        </w:rPr>
        <w:t xml:space="preserve"> </w:t>
      </w:r>
      <w:r w:rsidR="007C5885" w:rsidRPr="00B1304B">
        <w:rPr>
          <w:lang w:val="ro-RO"/>
        </w:rPr>
        <w:t>sectorului de apă și apă uzată și pentru accelerarea accesului populației la</w:t>
      </w:r>
      <w:r w:rsidRPr="00B1304B">
        <w:rPr>
          <w:lang w:val="ro-RO"/>
        </w:rPr>
        <w:t xml:space="preserve"> </w:t>
      </w:r>
      <w:r w:rsidR="007C5885" w:rsidRPr="00B1304B">
        <w:rPr>
          <w:lang w:val="ro-RO"/>
        </w:rPr>
        <w:t>servicii de calitate conform directivelor europene</w:t>
      </w:r>
      <w:r w:rsidR="00FC643E">
        <w:rPr>
          <w:lang w:val="ro-RO"/>
        </w:rPr>
        <w:t>,</w:t>
      </w:r>
      <w:r w:rsidRPr="00B1304B">
        <w:rPr>
          <w:lang w:val="ro-RO"/>
        </w:rPr>
        <w:t xml:space="preserve"> dar și r</w:t>
      </w:r>
      <w:r w:rsidR="007C5885" w:rsidRPr="00B1304B">
        <w:rPr>
          <w:lang w:val="ro-RO"/>
        </w:rPr>
        <w:t>econfigurarea actualului mecanism economic al Administrației Naționale</w:t>
      </w:r>
      <w:r w:rsidRPr="00B1304B">
        <w:rPr>
          <w:lang w:val="ro-RO"/>
        </w:rPr>
        <w:t xml:space="preserve"> </w:t>
      </w:r>
      <w:r w:rsidR="007C5885" w:rsidRPr="00B1304B">
        <w:rPr>
          <w:lang w:val="ro-RO"/>
        </w:rPr>
        <w:t>Apele Române (ANAR) în vederea asigurării modernizării și întreținerii sistemului național de gospodărire a apelor, precum și a implementării corespunzătoare a Directivei-cadru privind apa și a Directivei privind inundațiile</w:t>
      </w:r>
      <w:r w:rsidR="00CC1618">
        <w:rPr>
          <w:lang w:val="ro-RO"/>
        </w:rPr>
        <w:t>.</w:t>
      </w:r>
    </w:p>
    <w:p w14:paraId="0CC3E94A" w14:textId="77777777" w:rsidR="007C5885" w:rsidRPr="00B1304B" w:rsidRDefault="007C5885" w:rsidP="0070674B">
      <w:pPr>
        <w:spacing w:before="120" w:line="360" w:lineRule="auto"/>
        <w:ind w:left="720"/>
        <w:rPr>
          <w:lang w:val="ro-RO"/>
        </w:rPr>
      </w:pPr>
      <w:r w:rsidRPr="00B1304B">
        <w:rPr>
          <w:lang w:val="ro-RO"/>
        </w:rPr>
        <w:t>Ca urmare a investițiilor, se vor realiza, printre altele:</w:t>
      </w:r>
    </w:p>
    <w:p w14:paraId="52D9847D" w14:textId="50B429C1" w:rsidR="007C5885" w:rsidRPr="00B1304B" w:rsidRDefault="007C5885" w:rsidP="0070674B">
      <w:pPr>
        <w:pStyle w:val="ListParagraph"/>
        <w:numPr>
          <w:ilvl w:val="0"/>
          <w:numId w:val="10"/>
        </w:numPr>
        <w:spacing w:before="120" w:line="360" w:lineRule="auto"/>
        <w:jc w:val="both"/>
        <w:rPr>
          <w:rFonts w:ascii="Trebuchet MS" w:hAnsi="Trebuchet MS"/>
          <w:lang w:val="ro-RO"/>
        </w:rPr>
      </w:pPr>
      <w:r w:rsidRPr="00B1304B">
        <w:rPr>
          <w:rFonts w:ascii="Trebuchet MS" w:hAnsi="Trebuchet MS"/>
          <w:lang w:val="ro-RO"/>
        </w:rPr>
        <w:t>1600 km construiți de rețele de apă - în localități cu peste 2000 locuitori</w:t>
      </w:r>
      <w:r w:rsidR="004309C9">
        <w:rPr>
          <w:rFonts w:ascii="Trebuchet MS" w:hAnsi="Trebuchet MS"/>
          <w:lang w:val="ro-RO"/>
        </w:rPr>
        <w:t>;</w:t>
      </w:r>
    </w:p>
    <w:p w14:paraId="7DBC899F" w14:textId="2693DEF0" w:rsidR="007C5885" w:rsidRPr="00B1304B" w:rsidRDefault="007C5885" w:rsidP="0070674B">
      <w:pPr>
        <w:pStyle w:val="ListParagraph"/>
        <w:numPr>
          <w:ilvl w:val="0"/>
          <w:numId w:val="10"/>
        </w:numPr>
        <w:spacing w:before="120" w:line="360" w:lineRule="auto"/>
        <w:jc w:val="both"/>
        <w:rPr>
          <w:rFonts w:ascii="Trebuchet MS" w:hAnsi="Trebuchet MS"/>
          <w:lang w:val="ro-RO"/>
        </w:rPr>
      </w:pPr>
      <w:r w:rsidRPr="00B1304B">
        <w:rPr>
          <w:rFonts w:ascii="Trebuchet MS" w:hAnsi="Trebuchet MS"/>
          <w:lang w:val="ro-RO"/>
        </w:rPr>
        <w:t>2500 km construiți de rețele de canalizare în localități cu peste 2000 locuitori și 400 de km de rețele de canalizare în cele cu mai puțin de 2000 de locuitori</w:t>
      </w:r>
      <w:r w:rsidR="004309C9">
        <w:rPr>
          <w:rFonts w:ascii="Trebuchet MS" w:hAnsi="Trebuchet MS"/>
          <w:lang w:val="ro-RO"/>
        </w:rPr>
        <w:t>;</w:t>
      </w:r>
    </w:p>
    <w:p w14:paraId="44F88D46" w14:textId="517BBCF7" w:rsidR="007C5885" w:rsidRPr="00B1304B" w:rsidRDefault="007C5885" w:rsidP="0070674B">
      <w:pPr>
        <w:pStyle w:val="ListParagraph"/>
        <w:numPr>
          <w:ilvl w:val="0"/>
          <w:numId w:val="10"/>
        </w:numPr>
        <w:spacing w:before="120" w:line="360" w:lineRule="auto"/>
        <w:jc w:val="both"/>
        <w:rPr>
          <w:rFonts w:ascii="Trebuchet MS" w:hAnsi="Trebuchet MS"/>
          <w:lang w:val="ro-RO"/>
        </w:rPr>
      </w:pPr>
      <w:r w:rsidRPr="00B1304B">
        <w:rPr>
          <w:rFonts w:ascii="Trebuchet MS" w:hAnsi="Trebuchet MS"/>
          <w:lang w:val="ro-RO"/>
        </w:rPr>
        <w:t xml:space="preserve">12.900 de sisteme individuale sau alte sisteme adecvate construite și operaționale în aglomerările mai mici de 2000 de </w:t>
      </w:r>
      <w:r w:rsidR="00ED59F7" w:rsidRPr="00B1304B">
        <w:rPr>
          <w:rFonts w:ascii="Trebuchet MS" w:hAnsi="Trebuchet MS"/>
          <w:lang w:val="ro-RO"/>
        </w:rPr>
        <w:t>locuitori,</w:t>
      </w:r>
      <w:r w:rsidRPr="00B1304B">
        <w:rPr>
          <w:rFonts w:ascii="Trebuchet MS" w:hAnsi="Trebuchet MS"/>
          <w:lang w:val="ro-RO"/>
        </w:rPr>
        <w:t xml:space="preserve"> care împiedică atingerea unei stări bune a corpurilor de apă</w:t>
      </w:r>
      <w:r w:rsidR="004309C9">
        <w:rPr>
          <w:rFonts w:ascii="Trebuchet MS" w:hAnsi="Trebuchet MS"/>
          <w:lang w:val="ro-RO"/>
        </w:rPr>
        <w:t>;</w:t>
      </w:r>
    </w:p>
    <w:p w14:paraId="0E50A1A8" w14:textId="418F1DA0" w:rsidR="007C5885" w:rsidRPr="00B1304B" w:rsidRDefault="0021636F" w:rsidP="0070674B">
      <w:pPr>
        <w:pStyle w:val="ListParagraph"/>
        <w:numPr>
          <w:ilvl w:val="0"/>
          <w:numId w:val="10"/>
        </w:numPr>
        <w:spacing w:before="120" w:line="360" w:lineRule="auto"/>
        <w:jc w:val="both"/>
        <w:rPr>
          <w:rFonts w:ascii="Trebuchet MS" w:hAnsi="Trebuchet MS"/>
          <w:lang w:val="ro-RO"/>
        </w:rPr>
      </w:pPr>
      <w:r>
        <w:rPr>
          <w:rFonts w:ascii="Trebuchet MS" w:hAnsi="Trebuchet MS"/>
          <w:lang w:val="ro-RO"/>
        </w:rPr>
        <w:t>c</w:t>
      </w:r>
      <w:r w:rsidR="007C5885" w:rsidRPr="00B1304B">
        <w:rPr>
          <w:rFonts w:ascii="Trebuchet MS" w:hAnsi="Trebuchet MS"/>
          <w:lang w:val="ro-RO"/>
        </w:rPr>
        <w:t xml:space="preserve">onectarea a 88.400 de gospodării la rețele de apă și canalizare prin programul național </w:t>
      </w:r>
      <w:r>
        <w:rPr>
          <w:rFonts w:ascii="Trebuchet MS" w:hAnsi="Trebuchet MS"/>
          <w:lang w:val="ro-RO"/>
        </w:rPr>
        <w:t>”</w:t>
      </w:r>
      <w:r w:rsidR="007C5885" w:rsidRPr="00B1304B">
        <w:rPr>
          <w:rFonts w:ascii="Trebuchet MS" w:hAnsi="Trebuchet MS"/>
          <w:lang w:val="ro-RO"/>
        </w:rPr>
        <w:t>Prima conectare la apă și canalizare</w:t>
      </w:r>
      <w:r>
        <w:rPr>
          <w:rFonts w:ascii="Trebuchet MS" w:hAnsi="Trebuchet MS"/>
          <w:lang w:val="ro-RO"/>
        </w:rPr>
        <w:t>”</w:t>
      </w:r>
      <w:r w:rsidR="004309C9">
        <w:rPr>
          <w:rFonts w:ascii="Trebuchet MS" w:hAnsi="Trebuchet MS"/>
          <w:lang w:val="ro-RO"/>
        </w:rPr>
        <w:t>;</w:t>
      </w:r>
    </w:p>
    <w:p w14:paraId="46565ABC" w14:textId="235725F5" w:rsidR="007C5885" w:rsidRPr="00B1304B" w:rsidRDefault="0021636F" w:rsidP="0070674B">
      <w:pPr>
        <w:pStyle w:val="ListParagraph"/>
        <w:numPr>
          <w:ilvl w:val="0"/>
          <w:numId w:val="10"/>
        </w:numPr>
        <w:spacing w:before="120" w:line="360" w:lineRule="auto"/>
        <w:jc w:val="both"/>
        <w:rPr>
          <w:rFonts w:ascii="Trebuchet MS" w:hAnsi="Trebuchet MS"/>
          <w:color w:val="FF0000"/>
          <w:lang w:val="ro-RO"/>
        </w:rPr>
      </w:pPr>
      <w:r>
        <w:rPr>
          <w:rFonts w:ascii="Trebuchet MS" w:hAnsi="Trebuchet MS"/>
          <w:lang w:val="ro-RO"/>
        </w:rPr>
        <w:t>c</w:t>
      </w:r>
      <w:r w:rsidR="007C5885" w:rsidRPr="00B1304B">
        <w:rPr>
          <w:rFonts w:ascii="Trebuchet MS" w:hAnsi="Trebuchet MS"/>
          <w:lang w:val="ro-RO"/>
        </w:rPr>
        <w:t>el puțin 510 km de linii de apărar</w:t>
      </w:r>
      <w:r>
        <w:rPr>
          <w:rFonts w:ascii="Trebuchet MS" w:hAnsi="Trebuchet MS"/>
          <w:lang w:val="ro-RO"/>
        </w:rPr>
        <w:t xml:space="preserve">e împotriva inundațiilor </w:t>
      </w:r>
      <w:r w:rsidR="007C5885" w:rsidRPr="00B1304B">
        <w:rPr>
          <w:rFonts w:ascii="Trebuchet MS" w:hAnsi="Trebuchet MS"/>
          <w:lang w:val="ro-RO"/>
        </w:rPr>
        <w:t>reabilitate în conformitate cu Directiva privi</w:t>
      </w:r>
      <w:r>
        <w:rPr>
          <w:rFonts w:ascii="Trebuchet MS" w:hAnsi="Trebuchet MS"/>
          <w:lang w:val="ro-RO"/>
        </w:rPr>
        <w:t>nd inundațiile și cu Strategia Națională pentru Gestionarea Ri</w:t>
      </w:r>
      <w:r w:rsidR="007C5885" w:rsidRPr="00B1304B">
        <w:rPr>
          <w:rFonts w:ascii="Trebuchet MS" w:hAnsi="Trebuchet MS"/>
          <w:lang w:val="ro-RO"/>
        </w:rPr>
        <w:t xml:space="preserve">scului </w:t>
      </w:r>
      <w:r>
        <w:rPr>
          <w:rFonts w:ascii="Trebuchet MS" w:hAnsi="Trebuchet MS"/>
          <w:lang w:val="ro-RO"/>
        </w:rPr>
        <w:t>la I</w:t>
      </w:r>
      <w:r w:rsidR="00ED59F7" w:rsidRPr="00B1304B">
        <w:rPr>
          <w:rFonts w:ascii="Trebuchet MS" w:hAnsi="Trebuchet MS"/>
          <w:lang w:val="ro-RO"/>
        </w:rPr>
        <w:t>nundații</w:t>
      </w:r>
      <w:r w:rsidR="004309C9">
        <w:rPr>
          <w:rFonts w:ascii="Trebuchet MS" w:hAnsi="Trebuchet MS"/>
          <w:lang w:val="ro-RO"/>
        </w:rPr>
        <w:t>;</w:t>
      </w:r>
      <w:r w:rsidR="007C5885" w:rsidRPr="00B1304B">
        <w:rPr>
          <w:rFonts w:ascii="Trebuchet MS" w:hAnsi="Trebuchet MS"/>
          <w:lang w:val="ro-RO"/>
        </w:rPr>
        <w:t xml:space="preserve"> </w:t>
      </w:r>
    </w:p>
    <w:p w14:paraId="79E3BAAE" w14:textId="0357E62D" w:rsidR="007C5885" w:rsidRPr="00B1304B" w:rsidRDefault="0021636F" w:rsidP="0070674B">
      <w:pPr>
        <w:pStyle w:val="ListParagraph"/>
        <w:numPr>
          <w:ilvl w:val="0"/>
          <w:numId w:val="10"/>
        </w:numPr>
        <w:spacing w:before="120" w:line="360" w:lineRule="auto"/>
        <w:jc w:val="both"/>
        <w:rPr>
          <w:rFonts w:ascii="Trebuchet MS" w:hAnsi="Trebuchet MS"/>
          <w:lang w:val="ro-RO"/>
        </w:rPr>
      </w:pPr>
      <w:r>
        <w:rPr>
          <w:rFonts w:ascii="Trebuchet MS" w:hAnsi="Trebuchet MS"/>
          <w:lang w:val="ro-RO"/>
        </w:rPr>
        <w:t>s</w:t>
      </w:r>
      <w:r w:rsidR="007C5885" w:rsidRPr="00B1304B">
        <w:rPr>
          <w:rFonts w:ascii="Trebuchet MS" w:hAnsi="Trebuchet MS"/>
          <w:lang w:val="ro-RO"/>
        </w:rPr>
        <w:t>tarea/potențialul ecologic bun al corpurilor de apă relevante, în conformitate cu cerințele Directivei-cadru privind apa, trebuie atinsă și evidențiată prin cele mai recente date relevante de sprijin și trebuie evitată orice deteriorare</w:t>
      </w:r>
      <w:r w:rsidR="004309C9">
        <w:rPr>
          <w:rFonts w:ascii="Trebuchet MS" w:hAnsi="Trebuchet MS"/>
          <w:lang w:val="ro-RO"/>
        </w:rPr>
        <w:t>;</w:t>
      </w:r>
    </w:p>
    <w:p w14:paraId="5F0907A3" w14:textId="734D1A41" w:rsidR="007C5885" w:rsidRPr="00B1304B" w:rsidRDefault="007C5885" w:rsidP="0070674B">
      <w:pPr>
        <w:pStyle w:val="ListParagraph"/>
        <w:numPr>
          <w:ilvl w:val="0"/>
          <w:numId w:val="10"/>
        </w:numPr>
        <w:spacing w:before="120" w:line="360" w:lineRule="auto"/>
        <w:jc w:val="both"/>
        <w:rPr>
          <w:rFonts w:ascii="Trebuchet MS" w:hAnsi="Trebuchet MS"/>
          <w:lang w:val="ro-RO"/>
        </w:rPr>
      </w:pPr>
      <w:r w:rsidRPr="00B1304B">
        <w:rPr>
          <w:rFonts w:ascii="Trebuchet MS" w:hAnsi="Trebuchet MS"/>
          <w:lang w:val="ro-RO"/>
        </w:rPr>
        <w:t>20 de poldere de prevenire a inundațiilor reabilitate sau nou realizate</w:t>
      </w:r>
      <w:r w:rsidR="00970A41" w:rsidRPr="00B1304B">
        <w:rPr>
          <w:rFonts w:ascii="Trebuchet MS" w:hAnsi="Trebuchet MS"/>
          <w:lang w:val="ro-RO"/>
        </w:rPr>
        <w:t xml:space="preserve"> </w:t>
      </w:r>
      <w:r w:rsidRPr="00B1304B">
        <w:rPr>
          <w:rFonts w:ascii="Trebuchet MS" w:hAnsi="Trebuchet MS"/>
          <w:lang w:val="ro-RO"/>
        </w:rPr>
        <w:t>pe liniile de apărare existente împotriva inundațiilor</w:t>
      </w:r>
      <w:r w:rsidR="004309C9">
        <w:rPr>
          <w:rFonts w:ascii="Trebuchet MS" w:hAnsi="Trebuchet MS"/>
          <w:lang w:val="ro-RO"/>
        </w:rPr>
        <w:t>;</w:t>
      </w:r>
    </w:p>
    <w:p w14:paraId="7876D32D" w14:textId="7B5EB98C" w:rsidR="007C5885" w:rsidRPr="00B1304B" w:rsidRDefault="00CE1165" w:rsidP="0070674B">
      <w:pPr>
        <w:pStyle w:val="ListParagraph"/>
        <w:numPr>
          <w:ilvl w:val="0"/>
          <w:numId w:val="10"/>
        </w:numPr>
        <w:spacing w:before="120" w:line="360" w:lineRule="auto"/>
        <w:jc w:val="both"/>
        <w:rPr>
          <w:rFonts w:ascii="Trebuchet MS" w:hAnsi="Trebuchet MS"/>
          <w:lang w:val="ro-RO"/>
        </w:rPr>
      </w:pPr>
      <w:r>
        <w:rPr>
          <w:rFonts w:ascii="Trebuchet MS" w:hAnsi="Trebuchet MS"/>
          <w:lang w:val="ro-RO"/>
        </w:rPr>
        <w:t>r</w:t>
      </w:r>
      <w:r w:rsidR="007C5885" w:rsidRPr="00B1304B">
        <w:rPr>
          <w:rFonts w:ascii="Trebuchet MS" w:hAnsi="Trebuchet MS"/>
          <w:lang w:val="ro-RO"/>
        </w:rPr>
        <w:t xml:space="preserve">ealizarea cadastrului apelor. </w:t>
      </w:r>
    </w:p>
    <w:p w14:paraId="1F73D353" w14:textId="237A63E8" w:rsidR="007C5885" w:rsidRPr="00B1304B" w:rsidRDefault="00970A41" w:rsidP="0070674B">
      <w:pPr>
        <w:spacing w:before="120" w:line="360" w:lineRule="auto"/>
        <w:ind w:left="720"/>
        <w:rPr>
          <w:lang w:val="ro-RO"/>
        </w:rPr>
      </w:pPr>
      <w:r w:rsidRPr="00B1304B">
        <w:rPr>
          <w:lang w:val="ro-RO"/>
        </w:rPr>
        <w:lastRenderedPageBreak/>
        <w:t xml:space="preserve">În responsabilitatea MMAP </w:t>
      </w:r>
      <w:r w:rsidR="00355F66">
        <w:rPr>
          <w:lang w:val="ro-RO"/>
        </w:rPr>
        <w:t>intră</w:t>
      </w:r>
      <w:r w:rsidRPr="00B1304B">
        <w:rPr>
          <w:lang w:val="ro-RO"/>
        </w:rPr>
        <w:t xml:space="preserve"> </w:t>
      </w:r>
      <w:r w:rsidR="00EE2A4C" w:rsidRPr="00B1304B">
        <w:rPr>
          <w:lang w:val="ro-RO"/>
        </w:rPr>
        <w:t>ș</w:t>
      </w:r>
      <w:r w:rsidRPr="00B1304B">
        <w:rPr>
          <w:lang w:val="ro-RO"/>
        </w:rPr>
        <w:t xml:space="preserve">i componenta </w:t>
      </w:r>
      <w:r w:rsidR="007C5885" w:rsidRPr="00CE1165">
        <w:rPr>
          <w:b/>
          <w:bCs/>
          <w:lang w:val="ro-RO"/>
        </w:rPr>
        <w:t>C2</w:t>
      </w:r>
      <w:r w:rsidR="00B1304B" w:rsidRPr="00CE1165">
        <w:rPr>
          <w:b/>
          <w:bCs/>
          <w:lang w:val="ro-RO"/>
        </w:rPr>
        <w:t xml:space="preserve"> -</w:t>
      </w:r>
      <w:r w:rsidR="007C5885" w:rsidRPr="00CE1165">
        <w:rPr>
          <w:b/>
          <w:bCs/>
          <w:lang w:val="ro-RO"/>
        </w:rPr>
        <w:t xml:space="preserve"> Păduri și protecția biodiversității</w:t>
      </w:r>
      <w:r w:rsidRPr="00B1304B">
        <w:rPr>
          <w:lang w:val="ro-RO"/>
        </w:rPr>
        <w:t xml:space="preserve">, </w:t>
      </w:r>
      <w:r w:rsidR="00355F66">
        <w:rPr>
          <w:lang w:val="ro-RO"/>
        </w:rPr>
        <w:t>cu un</w:t>
      </w:r>
      <w:r w:rsidRPr="00B1304B">
        <w:rPr>
          <w:lang w:val="ro-RO"/>
        </w:rPr>
        <w:t xml:space="preserve"> buget  de </w:t>
      </w:r>
      <w:r w:rsidR="007C5885" w:rsidRPr="00B1304B">
        <w:rPr>
          <w:lang w:val="ro-RO"/>
        </w:rPr>
        <w:t>1,173 miliarde euro</w:t>
      </w:r>
      <w:r w:rsidRPr="00B1304B">
        <w:rPr>
          <w:lang w:val="ro-RO"/>
        </w:rPr>
        <w:t>. Se va realiza</w:t>
      </w:r>
      <w:r w:rsidRPr="00B1304B">
        <w:rPr>
          <w:rFonts w:cs="Segoe UI Emoji"/>
          <w:lang w:val="ro-RO"/>
        </w:rPr>
        <w:t xml:space="preserve"> </w:t>
      </w:r>
      <w:r w:rsidRPr="00B1304B">
        <w:rPr>
          <w:lang w:val="ro-RO"/>
        </w:rPr>
        <w:t>r</w:t>
      </w:r>
      <w:r w:rsidR="007C5885" w:rsidRPr="00B1304B">
        <w:rPr>
          <w:lang w:val="ro-RO"/>
        </w:rPr>
        <w:t xml:space="preserve">eforma sistemului de management </w:t>
      </w:r>
      <w:r w:rsidR="007C5885" w:rsidRPr="00B1304B">
        <w:rPr>
          <w:rFonts w:cs="Trebuchet MS"/>
          <w:lang w:val="ro-RO"/>
        </w:rPr>
        <w:t>ș</w:t>
      </w:r>
      <w:r w:rsidR="007C5885" w:rsidRPr="00B1304B">
        <w:rPr>
          <w:lang w:val="ro-RO"/>
        </w:rPr>
        <w:t>i a celui privind guvernan</w:t>
      </w:r>
      <w:r w:rsidR="007C5885" w:rsidRPr="00B1304B">
        <w:rPr>
          <w:rFonts w:cs="Trebuchet MS"/>
          <w:lang w:val="ro-RO"/>
        </w:rPr>
        <w:t>ț</w:t>
      </w:r>
      <w:r w:rsidR="007C5885" w:rsidRPr="00B1304B">
        <w:rPr>
          <w:lang w:val="ro-RO"/>
        </w:rPr>
        <w:t xml:space="preserve">a în domeniul forestier prin dezvoltarea unei noi </w:t>
      </w:r>
      <w:r w:rsidR="00EE2A4C" w:rsidRPr="00B1304B">
        <w:rPr>
          <w:i/>
          <w:iCs/>
          <w:lang w:val="ro-RO"/>
        </w:rPr>
        <w:t>s</w:t>
      </w:r>
      <w:r w:rsidR="007C5885" w:rsidRPr="00B1304B">
        <w:rPr>
          <w:i/>
          <w:iCs/>
          <w:lang w:val="ro-RO"/>
        </w:rPr>
        <w:t>trategii forestiere naționale</w:t>
      </w:r>
      <w:r w:rsidR="007C5885" w:rsidRPr="00B1304B">
        <w:rPr>
          <w:lang w:val="ro-RO"/>
        </w:rPr>
        <w:t xml:space="preserve"> și a legislației subsecvente</w:t>
      </w:r>
      <w:r w:rsidR="00355F66">
        <w:rPr>
          <w:lang w:val="ro-RO"/>
        </w:rPr>
        <w:t>,</w:t>
      </w:r>
      <w:r w:rsidR="0070674B" w:rsidRPr="00B1304B">
        <w:rPr>
          <w:lang w:val="ro-RO"/>
        </w:rPr>
        <w:t xml:space="preserve"> dar și</w:t>
      </w:r>
      <w:r w:rsidR="007C5885" w:rsidRPr="00B1304B">
        <w:rPr>
          <w:lang w:val="ro-RO"/>
        </w:rPr>
        <w:t xml:space="preserve"> </w:t>
      </w:r>
      <w:r w:rsidR="0070674B" w:rsidRPr="00B1304B">
        <w:rPr>
          <w:lang w:val="ro-RO"/>
        </w:rPr>
        <w:t>r</w:t>
      </w:r>
      <w:r w:rsidR="007C5885" w:rsidRPr="00B1304B">
        <w:rPr>
          <w:lang w:val="ro-RO"/>
        </w:rPr>
        <w:t>eforma sistemului de management al ariilor naturale protejate în vederea implementării coerente și eficace a Strategiei Europene privind biodiversitatea</w:t>
      </w:r>
      <w:r w:rsidR="0070674B" w:rsidRPr="00B1304B">
        <w:rPr>
          <w:lang w:val="ro-RO"/>
        </w:rPr>
        <w:t>.</w:t>
      </w:r>
      <w:r w:rsidR="007C5885" w:rsidRPr="00B1304B">
        <w:rPr>
          <w:lang w:val="ro-RO"/>
        </w:rPr>
        <w:t xml:space="preserve"> </w:t>
      </w:r>
    </w:p>
    <w:p w14:paraId="66FC7589" w14:textId="7C0120D9" w:rsidR="007C5885" w:rsidRPr="00B1304B" w:rsidRDefault="007C5885" w:rsidP="0070674B">
      <w:pPr>
        <w:spacing w:before="120" w:line="360" w:lineRule="auto"/>
        <w:ind w:left="720"/>
        <w:rPr>
          <w:lang w:val="ro-RO"/>
        </w:rPr>
      </w:pPr>
      <w:r w:rsidRPr="00B1304B">
        <w:rPr>
          <w:lang w:val="ro-RO"/>
        </w:rPr>
        <w:t>Reformele și investițiile vor aduce rezultate importante, între care:</w:t>
      </w:r>
      <w:r w:rsidR="0070674B" w:rsidRPr="00B1304B">
        <w:rPr>
          <w:lang w:val="ro-RO"/>
        </w:rPr>
        <w:t xml:space="preserve"> </w:t>
      </w:r>
      <w:r w:rsidRPr="00B1304B">
        <w:rPr>
          <w:lang w:val="ro-RO"/>
        </w:rPr>
        <w:t>cel mai amplu program de împăduriri, prin care vor fi plantate peste 56.700 de hectare de pădure,</w:t>
      </w:r>
      <w:r w:rsidR="0070674B" w:rsidRPr="00B1304B">
        <w:rPr>
          <w:lang w:val="ro-RO"/>
        </w:rPr>
        <w:t xml:space="preserve"> </w:t>
      </w:r>
      <w:r w:rsidRPr="00B1304B">
        <w:rPr>
          <w:lang w:val="ro-RO"/>
        </w:rPr>
        <w:t>cel puțin 90 de pepiniere operaționale noi și renovate</w:t>
      </w:r>
      <w:r w:rsidR="00CE1165">
        <w:rPr>
          <w:lang w:val="ro-RO"/>
        </w:rPr>
        <w:t>,</w:t>
      </w:r>
      <w:r w:rsidRPr="00B1304B">
        <w:rPr>
          <w:lang w:val="ro-RO"/>
        </w:rPr>
        <w:t xml:space="preserve"> precum și cel puțin 3</w:t>
      </w:r>
      <w:r w:rsidR="00355F66">
        <w:rPr>
          <w:lang w:val="ro-RO"/>
        </w:rPr>
        <w:t>.</w:t>
      </w:r>
      <w:r w:rsidRPr="00B1304B">
        <w:rPr>
          <w:lang w:val="ro-RO"/>
        </w:rPr>
        <w:t>150</w:t>
      </w:r>
      <w:r w:rsidR="00D56C66">
        <w:rPr>
          <w:lang w:val="ro-RO"/>
        </w:rPr>
        <w:t>.</w:t>
      </w:r>
      <w:r w:rsidRPr="00B1304B">
        <w:rPr>
          <w:lang w:val="ro-RO"/>
        </w:rPr>
        <w:t xml:space="preserve">000 </w:t>
      </w:r>
      <w:r w:rsidR="00D56C66" w:rsidRPr="00D56C66">
        <w:rPr>
          <w:lang w:val="ro-RO"/>
        </w:rPr>
        <w:t>m²</w:t>
      </w:r>
      <w:r w:rsidRPr="00B1304B">
        <w:rPr>
          <w:lang w:val="ro-RO"/>
        </w:rPr>
        <w:t xml:space="preserve"> suprafețe noi de păduri urbane, în conformitate cu cerințele legale stabilite în Strategia Națională Forestieră 2020 – 2030</w:t>
      </w:r>
      <w:r w:rsidR="004309C9">
        <w:rPr>
          <w:lang w:val="ro-RO"/>
        </w:rPr>
        <w:t>.</w:t>
      </w:r>
    </w:p>
    <w:p w14:paraId="6E1066C4" w14:textId="0E5E9DC0" w:rsidR="007C5885" w:rsidRPr="00B1304B" w:rsidRDefault="00EE2A4C" w:rsidP="00EE2A4C">
      <w:pPr>
        <w:spacing w:before="120" w:line="360" w:lineRule="auto"/>
        <w:ind w:left="720"/>
        <w:rPr>
          <w:lang w:val="ro-RO"/>
        </w:rPr>
      </w:pPr>
      <w:r w:rsidRPr="00B1304B">
        <w:rPr>
          <w:lang w:val="ro-RO"/>
        </w:rPr>
        <w:t xml:space="preserve">Prin gestionarea componentei </w:t>
      </w:r>
      <w:r w:rsidR="007C5885" w:rsidRPr="00CE1165">
        <w:rPr>
          <w:b/>
          <w:lang w:val="ro-RO"/>
        </w:rPr>
        <w:t>C3</w:t>
      </w:r>
      <w:r w:rsidR="00B1304B" w:rsidRPr="00CE1165">
        <w:rPr>
          <w:b/>
          <w:lang w:val="ro-RO"/>
        </w:rPr>
        <w:t xml:space="preserve"> -</w:t>
      </w:r>
      <w:r w:rsidR="007C5885" w:rsidRPr="00CE1165">
        <w:rPr>
          <w:b/>
          <w:lang w:val="ro-RO"/>
        </w:rPr>
        <w:t xml:space="preserve"> Managementul deșeurilor</w:t>
      </w:r>
      <w:r w:rsidRPr="00B1304B">
        <w:rPr>
          <w:lang w:val="ro-RO"/>
        </w:rPr>
        <w:t>,</w:t>
      </w:r>
      <w:r w:rsidR="007C5885" w:rsidRPr="00B1304B">
        <w:rPr>
          <w:lang w:val="ro-RO"/>
        </w:rPr>
        <w:t xml:space="preserve"> </w:t>
      </w:r>
      <w:r w:rsidRPr="00B1304B">
        <w:rPr>
          <w:lang w:val="ro-RO"/>
        </w:rPr>
        <w:t xml:space="preserve">MMAP </w:t>
      </w:r>
      <w:r w:rsidR="007C5885" w:rsidRPr="00B1304B">
        <w:rPr>
          <w:lang w:val="ro-RO"/>
        </w:rPr>
        <w:t xml:space="preserve">preconizează că până în 2023, se vor adopta o strategie și un plan de acțiune privind economia circulară, pentru a asigura tranziția României către o economie </w:t>
      </w:r>
      <w:r w:rsidR="00CE1165">
        <w:rPr>
          <w:lang w:val="ro-RO"/>
        </w:rPr>
        <w:t xml:space="preserve">circulară până în 2030. Aceste </w:t>
      </w:r>
      <w:r w:rsidR="007C5885" w:rsidRPr="00B1304B">
        <w:rPr>
          <w:lang w:val="ro-RO"/>
        </w:rPr>
        <w:t>acț</w:t>
      </w:r>
      <w:r w:rsidR="00CE1165">
        <w:rPr>
          <w:lang w:val="ro-RO"/>
        </w:rPr>
        <w:t>iuni vor fi însoțite</w:t>
      </w:r>
      <w:r w:rsidR="007C5885" w:rsidRPr="00B1304B">
        <w:rPr>
          <w:lang w:val="ro-RO"/>
        </w:rPr>
        <w:t xml:space="preserve"> de investiții în instalații de colectare separată și reciclare a deșeurilor, în reciclarea deșeurilor agricole și în asigurarea respectării dispozițiilor privind managementul deșeurilor.</w:t>
      </w:r>
    </w:p>
    <w:p w14:paraId="7460A8AF" w14:textId="2AEF350A" w:rsidR="007C5885" w:rsidRPr="00B1304B" w:rsidRDefault="007C5885" w:rsidP="0070674B">
      <w:pPr>
        <w:spacing w:before="120" w:line="360" w:lineRule="auto"/>
        <w:ind w:left="720"/>
        <w:rPr>
          <w:lang w:val="ro-RO"/>
        </w:rPr>
      </w:pPr>
      <w:r w:rsidRPr="00B1304B">
        <w:rPr>
          <w:lang w:val="ro-RO"/>
        </w:rPr>
        <w:t>Buget</w:t>
      </w:r>
      <w:r w:rsidR="004309C9">
        <w:rPr>
          <w:lang w:val="ro-RO"/>
        </w:rPr>
        <w:t>ul</w:t>
      </w:r>
      <w:r w:rsidRPr="00B1304B">
        <w:rPr>
          <w:lang w:val="ro-RO"/>
        </w:rPr>
        <w:t xml:space="preserve"> total </w:t>
      </w:r>
      <w:r w:rsidR="00EE2A4C" w:rsidRPr="00B1304B">
        <w:rPr>
          <w:lang w:val="ro-RO"/>
        </w:rPr>
        <w:t xml:space="preserve">pentru această componentă este de </w:t>
      </w:r>
      <w:r w:rsidRPr="00B1304B">
        <w:rPr>
          <w:lang w:val="ro-RO"/>
        </w:rPr>
        <w:t xml:space="preserve">1,239 miliarde </w:t>
      </w:r>
      <w:r w:rsidR="0063381F">
        <w:rPr>
          <w:lang w:val="ro-RO"/>
        </w:rPr>
        <w:t xml:space="preserve">de </w:t>
      </w:r>
      <w:r w:rsidRPr="00B1304B">
        <w:rPr>
          <w:lang w:val="ro-RO"/>
        </w:rPr>
        <w:t>euro.</w:t>
      </w:r>
    </w:p>
    <w:p w14:paraId="1FC25317" w14:textId="082E0A5D" w:rsidR="007C5885" w:rsidRPr="00B1304B" w:rsidRDefault="0063381F" w:rsidP="0077234F">
      <w:pPr>
        <w:spacing w:before="120" w:line="360" w:lineRule="auto"/>
        <w:ind w:left="720"/>
        <w:rPr>
          <w:lang w:val="ro-RO"/>
        </w:rPr>
      </w:pPr>
      <w:r>
        <w:rPr>
          <w:lang w:val="ro-RO"/>
        </w:rPr>
        <w:t>Printre măsuri</w:t>
      </w:r>
      <w:r w:rsidR="0077234F" w:rsidRPr="00B1304B">
        <w:rPr>
          <w:lang w:val="ro-RO"/>
        </w:rPr>
        <w:t xml:space="preserve"> se numără </w:t>
      </w:r>
      <w:r w:rsidR="007C5885" w:rsidRPr="00B1304B">
        <w:rPr>
          <w:lang w:val="ro-RO"/>
        </w:rPr>
        <w:t>modificări legislative pentru o practică unitară de gestionare a deșeurilor</w:t>
      </w:r>
      <w:r w:rsidR="0077234F" w:rsidRPr="00B1304B">
        <w:rPr>
          <w:lang w:val="ro-RO"/>
        </w:rPr>
        <w:t xml:space="preserve">, dar și </w:t>
      </w:r>
      <w:r w:rsidR="007C5885" w:rsidRPr="00B1304B">
        <w:rPr>
          <w:lang w:val="ro-RO"/>
        </w:rPr>
        <w:t>dezvoltarea capacității de monitorizare și control a Gărzii de Mediu, respectiv achiziționarea de echipamente și operaționalizarea acestora pentru 43 de comisariate ale Gărzii Naționale de Mediu, pentru activități de monitorizare și control, în vederea creșterii trasabilității deșeurilor și 400 de misiuni de monitorizare și control desfășurate de comisarii Gărzii Naționale de Mediu cu echipamente digitale.</w:t>
      </w:r>
    </w:p>
    <w:p w14:paraId="7CFA5153" w14:textId="77777777" w:rsidR="007C5885" w:rsidRPr="00B1304B" w:rsidRDefault="007C5885" w:rsidP="0077234F">
      <w:pPr>
        <w:spacing w:before="120" w:line="360" w:lineRule="auto"/>
        <w:ind w:left="720"/>
        <w:rPr>
          <w:lang w:val="ro-RO"/>
        </w:rPr>
      </w:pPr>
      <w:r w:rsidRPr="00B1304B">
        <w:rPr>
          <w:lang w:val="ro-RO"/>
        </w:rPr>
        <w:t xml:space="preserve"> De asemenea, sunt prevăzute următoarele: </w:t>
      </w:r>
    </w:p>
    <w:p w14:paraId="2A0ED14B" w14:textId="300D16D5" w:rsidR="007C5885" w:rsidRPr="00B1304B" w:rsidRDefault="007C5885" w:rsidP="0077234F">
      <w:pPr>
        <w:pStyle w:val="ListParagraph"/>
        <w:numPr>
          <w:ilvl w:val="0"/>
          <w:numId w:val="11"/>
        </w:numPr>
        <w:spacing w:before="120" w:line="360" w:lineRule="auto"/>
        <w:jc w:val="both"/>
        <w:rPr>
          <w:rFonts w:ascii="Trebuchet MS" w:hAnsi="Trebuchet MS"/>
          <w:lang w:val="ro-RO"/>
        </w:rPr>
      </w:pPr>
      <w:r w:rsidRPr="00B1304B">
        <w:rPr>
          <w:rFonts w:ascii="Trebuchet MS" w:hAnsi="Trebuchet MS"/>
          <w:lang w:val="ro-RO"/>
        </w:rPr>
        <w:t>513 echipamente pentru monitorizarea calității aerului, a radioactivității și a zgomotului, achiziționate și operaționale</w:t>
      </w:r>
      <w:r w:rsidR="004309C9">
        <w:rPr>
          <w:rFonts w:ascii="Trebuchet MS" w:hAnsi="Trebuchet MS"/>
          <w:lang w:val="ro-RO"/>
        </w:rPr>
        <w:t>;</w:t>
      </w:r>
    </w:p>
    <w:p w14:paraId="6950469B" w14:textId="10719190" w:rsidR="0063381F" w:rsidRDefault="007C5885" w:rsidP="0077234F">
      <w:pPr>
        <w:pStyle w:val="ListParagraph"/>
        <w:numPr>
          <w:ilvl w:val="0"/>
          <w:numId w:val="11"/>
        </w:numPr>
        <w:spacing w:before="120" w:line="360" w:lineRule="auto"/>
        <w:jc w:val="both"/>
        <w:rPr>
          <w:rFonts w:ascii="Trebuchet MS" w:hAnsi="Trebuchet MS"/>
          <w:lang w:val="ro-RO"/>
        </w:rPr>
      </w:pPr>
      <w:r w:rsidRPr="00B1304B">
        <w:rPr>
          <w:rFonts w:ascii="Trebuchet MS" w:hAnsi="Trebuchet MS"/>
          <w:lang w:val="ro-RO"/>
        </w:rPr>
        <w:t>13800 insule ecologice digitalizate pentru colectarea selectivă a deșeurilor, înființate și</w:t>
      </w:r>
      <w:r w:rsidR="0063381F">
        <w:rPr>
          <w:rFonts w:ascii="Trebuchet MS" w:hAnsi="Trebuchet MS"/>
          <w:lang w:val="ro-RO"/>
        </w:rPr>
        <w:t xml:space="preserve"> operaționale;</w:t>
      </w:r>
    </w:p>
    <w:p w14:paraId="157FF2B4" w14:textId="47B1AAAF" w:rsidR="007C5885" w:rsidRPr="00B1304B" w:rsidRDefault="007C5885" w:rsidP="0077234F">
      <w:pPr>
        <w:pStyle w:val="ListParagraph"/>
        <w:numPr>
          <w:ilvl w:val="0"/>
          <w:numId w:val="11"/>
        </w:numPr>
        <w:spacing w:before="120" w:line="360" w:lineRule="auto"/>
        <w:jc w:val="both"/>
        <w:rPr>
          <w:rFonts w:ascii="Trebuchet MS" w:hAnsi="Trebuchet MS"/>
          <w:lang w:val="ro-RO"/>
        </w:rPr>
      </w:pPr>
      <w:r w:rsidRPr="00B1304B">
        <w:rPr>
          <w:rFonts w:ascii="Trebuchet MS" w:hAnsi="Trebuchet MS"/>
          <w:lang w:val="ro-RO"/>
        </w:rPr>
        <w:t>26 de instalații de reciclare a deșeurilor construite și în funcțiune</w:t>
      </w:r>
      <w:r w:rsidR="004309C9">
        <w:rPr>
          <w:rFonts w:ascii="Trebuchet MS" w:hAnsi="Trebuchet MS"/>
          <w:lang w:val="ro-RO"/>
        </w:rPr>
        <w:t>;</w:t>
      </w:r>
    </w:p>
    <w:p w14:paraId="688EAFAA" w14:textId="7D43FC58" w:rsidR="007C5885" w:rsidRPr="00B1304B" w:rsidRDefault="007C5885" w:rsidP="0077234F">
      <w:pPr>
        <w:pStyle w:val="ListParagraph"/>
        <w:numPr>
          <w:ilvl w:val="0"/>
          <w:numId w:val="11"/>
        </w:numPr>
        <w:spacing w:before="120" w:line="360" w:lineRule="auto"/>
        <w:jc w:val="both"/>
        <w:rPr>
          <w:rFonts w:ascii="Trebuchet MS" w:hAnsi="Trebuchet MS"/>
          <w:lang w:val="ro-RO"/>
        </w:rPr>
      </w:pPr>
      <w:r w:rsidRPr="00B1304B">
        <w:rPr>
          <w:rFonts w:ascii="Trebuchet MS" w:hAnsi="Trebuchet MS"/>
          <w:lang w:val="ro-RO"/>
        </w:rPr>
        <w:t>504 de centre de colectare voluntară înființate și operațio</w:t>
      </w:r>
      <w:r w:rsidR="0063381F">
        <w:rPr>
          <w:rFonts w:ascii="Trebuchet MS" w:hAnsi="Trebuchet MS"/>
          <w:lang w:val="ro-RO"/>
        </w:rPr>
        <w:t>nale în conformitate cu Planul n</w:t>
      </w:r>
      <w:r w:rsidRPr="00B1304B">
        <w:rPr>
          <w:rFonts w:ascii="Trebuchet MS" w:hAnsi="Trebuchet MS"/>
          <w:lang w:val="ro-RO"/>
        </w:rPr>
        <w:t>ațional de gestionare a deșeurilor</w:t>
      </w:r>
      <w:r w:rsidR="004309C9">
        <w:rPr>
          <w:rFonts w:ascii="Trebuchet MS" w:hAnsi="Trebuchet MS"/>
          <w:lang w:val="ro-RO"/>
        </w:rPr>
        <w:t>;</w:t>
      </w:r>
    </w:p>
    <w:p w14:paraId="44F60983" w14:textId="0CFCD715" w:rsidR="007C5885" w:rsidRPr="00B1304B" w:rsidRDefault="007C5885" w:rsidP="0077234F">
      <w:pPr>
        <w:pStyle w:val="ListParagraph"/>
        <w:numPr>
          <w:ilvl w:val="0"/>
          <w:numId w:val="11"/>
        </w:numPr>
        <w:spacing w:before="120" w:line="360" w:lineRule="auto"/>
        <w:jc w:val="both"/>
        <w:rPr>
          <w:rFonts w:ascii="Trebuchet MS" w:hAnsi="Trebuchet MS"/>
          <w:lang w:val="ro-RO"/>
        </w:rPr>
      </w:pPr>
      <w:r w:rsidRPr="00B1304B">
        <w:rPr>
          <w:rFonts w:ascii="Trebuchet MS" w:hAnsi="Trebuchet MS"/>
          <w:lang w:val="ro-RO"/>
        </w:rPr>
        <w:t>15 centre de colectare integrată în 15 aglomerări urbane</w:t>
      </w:r>
      <w:r w:rsidR="004309C9">
        <w:rPr>
          <w:rFonts w:ascii="Trebuchet MS" w:hAnsi="Trebuchet MS"/>
          <w:lang w:val="ro-RO"/>
        </w:rPr>
        <w:t>;</w:t>
      </w:r>
    </w:p>
    <w:p w14:paraId="2DD7D0FD" w14:textId="5AD3EB69" w:rsidR="007C5885" w:rsidRPr="00B1304B" w:rsidRDefault="007C5885" w:rsidP="0077234F">
      <w:pPr>
        <w:pStyle w:val="ListParagraph"/>
        <w:numPr>
          <w:ilvl w:val="0"/>
          <w:numId w:val="11"/>
        </w:numPr>
        <w:spacing w:before="120" w:line="360" w:lineRule="auto"/>
        <w:jc w:val="both"/>
        <w:rPr>
          <w:rFonts w:ascii="Trebuchet MS" w:hAnsi="Trebuchet MS"/>
          <w:lang w:val="ro-RO"/>
        </w:rPr>
      </w:pPr>
      <w:r w:rsidRPr="00B1304B">
        <w:rPr>
          <w:rFonts w:ascii="Trebuchet MS" w:hAnsi="Trebuchet MS"/>
          <w:lang w:val="ro-RO"/>
        </w:rPr>
        <w:t>254 sisteme integrate de colectare a deșeurilor agricole compostabile</w:t>
      </w:r>
      <w:r w:rsidR="004309C9">
        <w:rPr>
          <w:rFonts w:ascii="Trebuchet MS" w:hAnsi="Trebuchet MS"/>
          <w:lang w:val="ro-RO"/>
        </w:rPr>
        <w:t>.</w:t>
      </w:r>
    </w:p>
    <w:p w14:paraId="6D01D945" w14:textId="667FB197" w:rsidR="00DC5166" w:rsidRPr="00B1304B" w:rsidRDefault="00A617A8" w:rsidP="00883099">
      <w:pPr>
        <w:spacing w:before="120" w:line="360" w:lineRule="auto"/>
        <w:ind w:left="720"/>
        <w:rPr>
          <w:b/>
          <w:bCs/>
          <w:lang w:val="ro-RO"/>
        </w:rPr>
      </w:pPr>
      <w:r w:rsidRPr="00B1304B">
        <w:rPr>
          <w:lang w:val="ro-RO"/>
        </w:rPr>
        <w:t xml:space="preserve">De asemenea, </w:t>
      </w:r>
      <w:r w:rsidR="0063381F">
        <w:rPr>
          <w:lang w:val="ro-RO"/>
        </w:rPr>
        <w:t>MMAP</w:t>
      </w:r>
      <w:r w:rsidRPr="00B1304B">
        <w:rPr>
          <w:lang w:val="ro-RO"/>
        </w:rPr>
        <w:t xml:space="preserve"> va gestiona și componenta </w:t>
      </w:r>
      <w:r w:rsidRPr="00B1304B">
        <w:rPr>
          <w:b/>
          <w:bCs/>
          <w:lang w:val="ro-RO"/>
        </w:rPr>
        <w:t xml:space="preserve">Digitalizare în domeniul mediului. </w:t>
      </w:r>
    </w:p>
    <w:p w14:paraId="0251BDCF" w14:textId="40D3E0C9" w:rsidR="00DC5166" w:rsidRPr="00B1304B" w:rsidRDefault="00A617A8" w:rsidP="00885C15">
      <w:pPr>
        <w:spacing w:before="120" w:line="360" w:lineRule="auto"/>
        <w:ind w:left="720"/>
        <w:rPr>
          <w:lang w:val="ro-RO"/>
        </w:rPr>
      </w:pPr>
      <w:r w:rsidRPr="00B1304B">
        <w:rPr>
          <w:lang w:val="ro-RO"/>
        </w:rPr>
        <w:lastRenderedPageBreak/>
        <w:t xml:space="preserve">Astfel </w:t>
      </w:r>
      <w:r w:rsidR="00885C15" w:rsidRPr="00B1304B">
        <w:rPr>
          <w:lang w:val="ro-RO"/>
        </w:rPr>
        <w:t xml:space="preserve">se va </w:t>
      </w:r>
      <w:r w:rsidR="00885C15" w:rsidRPr="00B1304B">
        <w:rPr>
          <w:b/>
          <w:bCs/>
          <w:lang w:val="ro-RO"/>
        </w:rPr>
        <w:t>spori capacitatea de supraveghere, control și monitorizare a pădurilor prin intermediul unui sistem informatic integrat</w:t>
      </w:r>
      <w:r w:rsidR="00885C15" w:rsidRPr="00B1304B">
        <w:rPr>
          <w:lang w:val="ro-RO"/>
        </w:rPr>
        <w:t xml:space="preserve">. </w:t>
      </w:r>
      <w:r w:rsidRPr="00B1304B">
        <w:rPr>
          <w:lang w:val="ro-RO"/>
        </w:rPr>
        <w:t>Sistemul va fi integrat în SUMAL 2.0 (sistemul românesc de urmărire a materialelor lemnoase, aflat în prezent în curs de dezvoltare) și va monitoriza îndeplinirea obligațiil</w:t>
      </w:r>
      <w:r w:rsidR="004309C9">
        <w:rPr>
          <w:lang w:val="ro-RO"/>
        </w:rPr>
        <w:t>or</w:t>
      </w:r>
      <w:r w:rsidRPr="00B1304B">
        <w:rPr>
          <w:lang w:val="ro-RO"/>
        </w:rPr>
        <w:t xml:space="preserve"> legale </w:t>
      </w:r>
      <w:r w:rsidR="004309C9">
        <w:rPr>
          <w:lang w:val="ro-RO"/>
        </w:rPr>
        <w:t xml:space="preserve">privind </w:t>
      </w:r>
      <w:r w:rsidRPr="00B1304B">
        <w:rPr>
          <w:lang w:val="ro-RO"/>
        </w:rPr>
        <w:t>recoltarea lemnului, regene</w:t>
      </w:r>
      <w:r w:rsidR="00A34E65">
        <w:rPr>
          <w:lang w:val="ro-RO"/>
        </w:rPr>
        <w:t xml:space="preserve">rarea în timp util a pădurilor, </w:t>
      </w:r>
      <w:r w:rsidRPr="00B1304B">
        <w:rPr>
          <w:lang w:val="ro-RO"/>
        </w:rPr>
        <w:t>sănătatea pădurilor, starea de conse</w:t>
      </w:r>
      <w:r w:rsidR="00A34E65">
        <w:rPr>
          <w:lang w:val="ro-RO"/>
        </w:rPr>
        <w:t xml:space="preserve">rvare a habitatelor forestiere, </w:t>
      </w:r>
      <w:r w:rsidRPr="00B1304B">
        <w:rPr>
          <w:lang w:val="ro-RO"/>
        </w:rPr>
        <w:t>impactul schimbărilor climatice și adaptarea la schimbările climatice a diferitelor ecosisteme forestiere. Va fi inclus cadastrul forestier, precum și drepturile de proprietate și de administrare. Centrele de date ale sistemului vor respecta Codul european de conduită privind eficiența energetică a Centrului de date și integrează circularitatea proiectării clădirilor și a tehnicilor de construcție.</w:t>
      </w:r>
      <w:r w:rsidRPr="00B1304B">
        <w:rPr>
          <w:lang w:val="ro-RO"/>
        </w:rPr>
        <w:cr/>
      </w:r>
      <w:r w:rsidR="000D4683" w:rsidRPr="00B1304B">
        <w:rPr>
          <w:lang w:val="ro-RO"/>
        </w:rPr>
        <w:t>Bugetul pentru aceast</w:t>
      </w:r>
      <w:r w:rsidR="004309C9">
        <w:rPr>
          <w:lang w:val="ro-RO"/>
        </w:rPr>
        <w:t>ă</w:t>
      </w:r>
      <w:r w:rsidR="000D4683" w:rsidRPr="00B1304B">
        <w:rPr>
          <w:lang w:val="ro-RO"/>
        </w:rPr>
        <w:t xml:space="preserve"> activitate va fi de 42 milioane de euro</w:t>
      </w:r>
      <w:r w:rsidR="004309C9">
        <w:rPr>
          <w:lang w:val="ro-RO"/>
        </w:rPr>
        <w:t>.</w:t>
      </w:r>
    </w:p>
    <w:p w14:paraId="4B79510D" w14:textId="4B43D964" w:rsidR="007C5885" w:rsidRDefault="00885C15" w:rsidP="00883099">
      <w:pPr>
        <w:spacing w:before="120" w:line="360" w:lineRule="auto"/>
        <w:ind w:left="720"/>
        <w:rPr>
          <w:lang w:val="ro-RO"/>
        </w:rPr>
      </w:pPr>
      <w:r w:rsidRPr="00B1304B">
        <w:rPr>
          <w:lang w:val="ro-RO"/>
        </w:rPr>
        <w:t xml:space="preserve">Tot în cadrul componentei </w:t>
      </w:r>
      <w:r w:rsidRPr="00B1304B">
        <w:rPr>
          <w:b/>
          <w:bCs/>
          <w:i/>
          <w:iCs/>
          <w:lang w:val="ro-RO"/>
        </w:rPr>
        <w:t>Digitalizare în domeniul mediului</w:t>
      </w:r>
      <w:r w:rsidRPr="00B1304B">
        <w:rPr>
          <w:lang w:val="ro-RO"/>
        </w:rPr>
        <w:t xml:space="preserve"> </w:t>
      </w:r>
      <w:r w:rsidR="00883099" w:rsidRPr="00B1304B">
        <w:rPr>
          <w:lang w:val="ro-RO"/>
        </w:rPr>
        <w:t xml:space="preserve">se vor realiza </w:t>
      </w:r>
      <w:r w:rsidR="00883099" w:rsidRPr="00B1304B">
        <w:rPr>
          <w:b/>
          <w:bCs/>
          <w:lang w:val="ro-RO"/>
        </w:rPr>
        <w:t>servicii publice de mediu digitalizate</w:t>
      </w:r>
      <w:r w:rsidR="00DC5166" w:rsidRPr="00B1304B">
        <w:rPr>
          <w:lang w:val="ro-RO"/>
        </w:rPr>
        <w:t>, bugetul fiind de 6 milioane de euro.</w:t>
      </w:r>
      <w:r w:rsidR="00883099" w:rsidRPr="00B1304B">
        <w:rPr>
          <w:lang w:val="ro-RO"/>
        </w:rPr>
        <w:t xml:space="preserve"> Astfel, cel puț</w:t>
      </w:r>
      <w:r w:rsidR="00A34E65">
        <w:rPr>
          <w:lang w:val="ro-RO"/>
        </w:rPr>
        <w:t>in 32 de servicii publice specifice activităților</w:t>
      </w:r>
      <w:r w:rsidR="00883099" w:rsidRPr="00B1304B">
        <w:rPr>
          <w:lang w:val="ro-RO"/>
        </w:rPr>
        <w:t xml:space="preserve"> de mediu vor fi digitalizate și gestionate online pentru a include: transmiterea datelor și informațiilor pentru inventarele emisiilor; raportarea aferentă Natura 2000 și serviciile de conservare a naturii; gestionarea registrelor de mediu, a procedurilor de notificare și autorizare și a permiselor, cu scopul de a raționaliza serviciile de gestionare a deșeurilor pentru cetățeni și întreprinderi.</w:t>
      </w:r>
    </w:p>
    <w:p w14:paraId="6C732C01" w14:textId="77777777" w:rsidR="00DA7D67" w:rsidRPr="00B1304B" w:rsidRDefault="00DA7D67" w:rsidP="00883099">
      <w:pPr>
        <w:spacing w:before="120" w:line="360" w:lineRule="auto"/>
        <w:ind w:left="720"/>
        <w:rPr>
          <w:lang w:val="ro-RO"/>
        </w:rPr>
      </w:pPr>
    </w:p>
    <w:p w14:paraId="505FF929" w14:textId="777294B1" w:rsidR="00007D26" w:rsidRPr="00B1304B" w:rsidRDefault="006A1658" w:rsidP="0070674B">
      <w:pPr>
        <w:spacing w:before="120" w:line="360" w:lineRule="auto"/>
        <w:ind w:left="0" w:firstLine="720"/>
        <w:rPr>
          <w:lang w:val="ro-RO"/>
        </w:rPr>
      </w:pPr>
      <w:r w:rsidRPr="00B1304B">
        <w:rPr>
          <w:lang w:val="ro-RO"/>
        </w:rPr>
        <w:t>DIRECȚIA DE COMUNICARE, TRANSPARENȚĂ ȘI IT</w:t>
      </w:r>
    </w:p>
    <w:sectPr w:rsidR="00007D26" w:rsidRPr="00B1304B" w:rsidSect="00970A41">
      <w:headerReference w:type="default" r:id="rId8"/>
      <w:footerReference w:type="default" r:id="rId9"/>
      <w:headerReference w:type="first" r:id="rId10"/>
      <w:footerReference w:type="first" r:id="rId11"/>
      <w:pgSz w:w="11900" w:h="16840"/>
      <w:pgMar w:top="1674" w:right="701" w:bottom="1702" w:left="810"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8AB91" w14:textId="77777777" w:rsidR="00807540" w:rsidRDefault="00807540" w:rsidP="00CD5B3B">
      <w:r>
        <w:separator/>
      </w:r>
    </w:p>
  </w:endnote>
  <w:endnote w:type="continuationSeparator" w:id="0">
    <w:p w14:paraId="087AFAB2" w14:textId="77777777" w:rsidR="00807540" w:rsidRDefault="0080754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214116"/>
      <w:docPartObj>
        <w:docPartGallery w:val="Page Numbers (Bottom of Page)"/>
        <w:docPartUnique/>
      </w:docPartObj>
    </w:sdtPr>
    <w:sdtEndPr>
      <w:rPr>
        <w:noProof/>
      </w:rPr>
    </w:sdtEndPr>
    <w:sdtContent>
      <w:p w14:paraId="6E0C1384" w14:textId="4DA137BB" w:rsidR="00216D27" w:rsidRDefault="00216D27">
        <w:pPr>
          <w:pStyle w:val="Footer"/>
          <w:jc w:val="right"/>
        </w:pPr>
        <w:r>
          <w:fldChar w:fldCharType="begin"/>
        </w:r>
        <w:r>
          <w:instrText xml:space="preserve"> PAGE   \* MERGEFORMAT </w:instrText>
        </w:r>
        <w:r>
          <w:fldChar w:fldCharType="separate"/>
        </w:r>
        <w:r w:rsidR="00A25F4D">
          <w:rPr>
            <w:noProof/>
          </w:rPr>
          <w:t>4</w:t>
        </w:r>
        <w:r>
          <w:rPr>
            <w:noProof/>
          </w:rPr>
          <w:fldChar w:fldCharType="end"/>
        </w:r>
      </w:p>
    </w:sdtContent>
  </w:sdt>
  <w:p w14:paraId="5E03848B" w14:textId="77777777" w:rsidR="006D058F" w:rsidRPr="00EF0835" w:rsidRDefault="006D058F" w:rsidP="00EF0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6FDF5" w14:textId="77777777" w:rsidR="00EF0835" w:rsidRDefault="00EF0835" w:rsidP="00134698">
    <w:pPr>
      <w:pStyle w:val="Footer"/>
      <w:spacing w:after="0" w:line="240" w:lineRule="auto"/>
      <w:ind w:left="567"/>
      <w:rPr>
        <w:sz w:val="14"/>
        <w:szCs w:val="14"/>
        <w:lang w:val="ro-RO"/>
      </w:rPr>
    </w:pPr>
    <w:bookmarkStart w:id="1" w:name="_Hlk30583582"/>
  </w:p>
  <w:p w14:paraId="7C996AEE" w14:textId="77777777" w:rsidR="00EF0835" w:rsidRDefault="00EF0835" w:rsidP="00134698">
    <w:pPr>
      <w:pStyle w:val="Footer"/>
      <w:spacing w:after="0" w:line="240" w:lineRule="auto"/>
      <w:ind w:left="567"/>
      <w:rPr>
        <w:sz w:val="14"/>
        <w:szCs w:val="14"/>
        <w:lang w:val="ro-RO"/>
      </w:rPr>
    </w:pPr>
  </w:p>
  <w:p w14:paraId="24A81EE1" w14:textId="77777777" w:rsidR="00134698" w:rsidRDefault="00134698" w:rsidP="00134698">
    <w:pPr>
      <w:pStyle w:val="Footer"/>
      <w:spacing w:after="0" w:line="240" w:lineRule="auto"/>
      <w:ind w:left="567"/>
      <w:rPr>
        <w:sz w:val="14"/>
        <w:szCs w:val="14"/>
        <w:lang w:val="ro-RO"/>
      </w:rPr>
    </w:pPr>
    <w:bookmarkStart w:id="2" w:name="_Hlk97639370"/>
    <w:r w:rsidRPr="00134698">
      <w:rPr>
        <w:sz w:val="14"/>
        <w:szCs w:val="14"/>
        <w:lang w:val="ro-RO"/>
      </w:rPr>
      <w:t xml:space="preserve">Bd. </w:t>
    </w:r>
    <w:proofErr w:type="spellStart"/>
    <w:r w:rsidRPr="00134698">
      <w:rPr>
        <w:sz w:val="14"/>
        <w:szCs w:val="14"/>
        <w:lang w:val="ro-RO"/>
      </w:rPr>
      <w:t>Libertăţii</w:t>
    </w:r>
    <w:proofErr w:type="spellEnd"/>
    <w:r w:rsidRPr="00134698">
      <w:rPr>
        <w:sz w:val="14"/>
        <w:szCs w:val="14"/>
        <w:lang w:val="ro-RO"/>
      </w:rPr>
      <w:t xml:space="preserve">, nr. 12, Sector 5, </w:t>
    </w:r>
    <w:proofErr w:type="spellStart"/>
    <w:r w:rsidRPr="00134698">
      <w:rPr>
        <w:sz w:val="14"/>
        <w:szCs w:val="14"/>
        <w:lang w:val="ro-RO"/>
      </w:rPr>
      <w:t>Bucureşti</w:t>
    </w:r>
    <w:proofErr w:type="spellEnd"/>
  </w:p>
  <w:p w14:paraId="60B55F4D" w14:textId="716685A6" w:rsidR="00134698" w:rsidRPr="00134698" w:rsidRDefault="00134698" w:rsidP="00134698">
    <w:pPr>
      <w:pStyle w:val="Footer"/>
      <w:spacing w:after="0" w:line="240" w:lineRule="auto"/>
      <w:ind w:left="567"/>
      <w:rPr>
        <w:sz w:val="14"/>
        <w:szCs w:val="14"/>
        <w:lang w:val="ro-RO"/>
      </w:rPr>
    </w:pPr>
    <w:r w:rsidRPr="00134698">
      <w:rPr>
        <w:sz w:val="14"/>
        <w:szCs w:val="14"/>
        <w:lang w:val="ro-RO"/>
      </w:rPr>
      <w:t>Tel.: +4 021 408 9</w:t>
    </w:r>
    <w:r w:rsidR="00E73DBC">
      <w:rPr>
        <w:sz w:val="14"/>
        <w:szCs w:val="14"/>
        <w:lang w:val="ro-RO"/>
      </w:rPr>
      <w:t>6</w:t>
    </w:r>
    <w:r w:rsidRPr="00134698">
      <w:rPr>
        <w:sz w:val="14"/>
        <w:szCs w:val="14"/>
        <w:lang w:val="ro-RO"/>
      </w:rPr>
      <w:t xml:space="preserve"> </w:t>
    </w:r>
    <w:r w:rsidR="00E73DBC">
      <w:rPr>
        <w:sz w:val="14"/>
        <w:szCs w:val="14"/>
        <w:lang w:val="ro-RO"/>
      </w:rPr>
      <w:t>05</w:t>
    </w:r>
  </w:p>
  <w:p w14:paraId="2915E457" w14:textId="44729976" w:rsidR="00134698" w:rsidRPr="00134698" w:rsidRDefault="00134698" w:rsidP="00134698">
    <w:pPr>
      <w:pStyle w:val="Footer"/>
      <w:spacing w:after="0" w:line="240" w:lineRule="auto"/>
      <w:ind w:left="567"/>
      <w:rPr>
        <w:sz w:val="14"/>
        <w:szCs w:val="14"/>
        <w:lang w:val="ro-RO"/>
      </w:rPr>
    </w:pPr>
    <w:r w:rsidRPr="00134698">
      <w:rPr>
        <w:sz w:val="14"/>
        <w:szCs w:val="14"/>
        <w:lang w:val="ro-RO"/>
      </w:rPr>
      <w:t xml:space="preserve">e-mail: </w:t>
    </w:r>
    <w:r w:rsidR="00332F0D">
      <w:rPr>
        <w:sz w:val="14"/>
        <w:szCs w:val="14"/>
        <w:lang w:val="ro-RO"/>
      </w:rPr>
      <w:t>comunicare</w:t>
    </w:r>
    <w:r w:rsidRPr="00134698">
      <w:rPr>
        <w:sz w:val="14"/>
        <w:szCs w:val="14"/>
        <w:lang w:val="ro-RO"/>
      </w:rPr>
      <w:t xml:space="preserve">@mmediu.ro  </w:t>
    </w:r>
  </w:p>
  <w:p w14:paraId="47E5AF80" w14:textId="77777777" w:rsidR="00134698" w:rsidRPr="00134698" w:rsidRDefault="00134698" w:rsidP="00134698">
    <w:pPr>
      <w:pStyle w:val="Footer"/>
      <w:spacing w:after="0" w:line="240" w:lineRule="auto"/>
      <w:ind w:left="567"/>
      <w:rPr>
        <w:sz w:val="14"/>
        <w:szCs w:val="14"/>
        <w:lang w:val="ro-RO"/>
      </w:rPr>
    </w:pPr>
    <w:r w:rsidRPr="00134698">
      <w:rPr>
        <w:sz w:val="14"/>
        <w:szCs w:val="14"/>
        <w:lang w:val="ro-RO"/>
      </w:rPr>
      <w:t>website: www.mmediu.ro</w:t>
    </w:r>
  </w:p>
  <w:bookmarkEnd w:id="1"/>
  <w:bookmarkEnd w:id="2"/>
  <w:p w14:paraId="518AAFCB" w14:textId="77777777" w:rsidR="006D058F" w:rsidRPr="00134698" w:rsidRDefault="006D058F" w:rsidP="00134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25DB1" w14:textId="77777777" w:rsidR="00807540" w:rsidRDefault="00807540" w:rsidP="00CD5B3B">
      <w:r>
        <w:separator/>
      </w:r>
    </w:p>
  </w:footnote>
  <w:footnote w:type="continuationSeparator" w:id="0">
    <w:p w14:paraId="7B6337DE" w14:textId="77777777" w:rsidR="00807540" w:rsidRDefault="00807540"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220557DC" w14:textId="77777777" w:rsidTr="00C20EF1">
      <w:tc>
        <w:tcPr>
          <w:tcW w:w="5103" w:type="dxa"/>
          <w:shd w:val="clear" w:color="auto" w:fill="auto"/>
        </w:tcPr>
        <w:p w14:paraId="15D758C9" w14:textId="77777777" w:rsidR="006D058F" w:rsidRPr="00CD5B3B" w:rsidRDefault="006D058F" w:rsidP="00E562FC">
          <w:pPr>
            <w:pStyle w:val="MediumGrid21"/>
          </w:pPr>
        </w:p>
      </w:tc>
      <w:tc>
        <w:tcPr>
          <w:tcW w:w="4111" w:type="dxa"/>
          <w:shd w:val="clear" w:color="auto" w:fill="auto"/>
          <w:vAlign w:val="center"/>
        </w:tcPr>
        <w:p w14:paraId="0175DF54" w14:textId="115B9632" w:rsidR="006D058F" w:rsidRDefault="006D058F" w:rsidP="00C20EF1">
          <w:pPr>
            <w:pStyle w:val="MediumGrid21"/>
            <w:jc w:val="right"/>
          </w:pPr>
        </w:p>
      </w:tc>
    </w:tr>
  </w:tbl>
  <w:p w14:paraId="42084B32" w14:textId="77777777" w:rsidR="006D058F" w:rsidRPr="00CD5B3B" w:rsidRDefault="006D058F"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BA50EF" w14:paraId="045DE525" w14:textId="77777777" w:rsidTr="00DC24B1">
      <w:tc>
        <w:tcPr>
          <w:tcW w:w="6804" w:type="dxa"/>
          <w:shd w:val="clear" w:color="auto" w:fill="auto"/>
        </w:tcPr>
        <w:p w14:paraId="5FB05D40" w14:textId="77777777" w:rsidR="00BA50EF" w:rsidRPr="00CD5B3B" w:rsidRDefault="003F050E" w:rsidP="00BA50EF">
          <w:pPr>
            <w:pStyle w:val="MediumGrid21"/>
          </w:pPr>
          <w:r w:rsidRPr="00576631">
            <w:rPr>
              <w:noProof/>
            </w:rPr>
            <w:drawing>
              <wp:inline distT="0" distB="0" distL="0" distR="0" wp14:anchorId="5854C3A7" wp14:editId="46E2CD76">
                <wp:extent cx="3238500" cy="900430"/>
                <wp:effectExtent l="0" t="0" r="0" b="0"/>
                <wp:docPr id="3" name="Picture 3" descr="C:\Users\gabriel.jitaru\Desktop\20191107 ministru instalare\logo MMAP\MMAP-ant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900430"/>
                        </a:xfrm>
                        <a:prstGeom prst="rect">
                          <a:avLst/>
                        </a:prstGeom>
                        <a:noFill/>
                        <a:ln>
                          <a:noFill/>
                        </a:ln>
                      </pic:spPr>
                    </pic:pic>
                  </a:graphicData>
                </a:graphic>
              </wp:inline>
            </w:drawing>
          </w:r>
        </w:p>
      </w:tc>
      <w:tc>
        <w:tcPr>
          <w:tcW w:w="4111" w:type="dxa"/>
          <w:shd w:val="clear" w:color="auto" w:fill="auto"/>
          <w:vAlign w:val="center"/>
        </w:tcPr>
        <w:p w14:paraId="0BF6566A" w14:textId="77777777" w:rsidR="00BA50EF" w:rsidRDefault="00BA50EF" w:rsidP="00BA50EF">
          <w:pPr>
            <w:pStyle w:val="MediumGrid21"/>
            <w:jc w:val="right"/>
          </w:pPr>
        </w:p>
      </w:tc>
    </w:tr>
  </w:tbl>
  <w:p w14:paraId="212C7E9B" w14:textId="77777777" w:rsidR="00BA50EF" w:rsidRPr="00BA50EF" w:rsidRDefault="00BA50EF" w:rsidP="00B314EC">
    <w:pPr>
      <w:pStyle w:val="Header"/>
      <w:tabs>
        <w:tab w:val="clear" w:pos="4320"/>
        <w:tab w:val="left" w:pos="1530"/>
        <w:tab w:val="center" w:pos="2790"/>
      </w:tabs>
      <w:ind w:left="0"/>
      <w:rPr>
        <w:b/>
        <w:color w:val="7F7F7F"/>
        <w:lang w:val="ro-RO"/>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431F"/>
    <w:multiLevelType w:val="hybridMultilevel"/>
    <w:tmpl w:val="825C66CA"/>
    <w:lvl w:ilvl="0" w:tplc="1240888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1137D6"/>
    <w:multiLevelType w:val="hybridMultilevel"/>
    <w:tmpl w:val="1226B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E15A4"/>
    <w:multiLevelType w:val="hybridMultilevel"/>
    <w:tmpl w:val="DE1EDDC4"/>
    <w:lvl w:ilvl="0" w:tplc="1240888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5F3F1C"/>
    <w:multiLevelType w:val="hybridMultilevel"/>
    <w:tmpl w:val="9A2C0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932D8B"/>
    <w:multiLevelType w:val="hybridMultilevel"/>
    <w:tmpl w:val="C40473A8"/>
    <w:lvl w:ilvl="0" w:tplc="63FE919C">
      <w:start w:val="1"/>
      <w:numFmt w:val="decimal"/>
      <w:lvlText w:val="%1."/>
      <w:lvlJc w:val="left"/>
      <w:pPr>
        <w:ind w:left="750" w:hanging="4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3149699E"/>
    <w:multiLevelType w:val="hybridMultilevel"/>
    <w:tmpl w:val="36BC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A70B3"/>
    <w:multiLevelType w:val="hybridMultilevel"/>
    <w:tmpl w:val="F9026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B6332"/>
    <w:multiLevelType w:val="hybridMultilevel"/>
    <w:tmpl w:val="64B0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A4135"/>
    <w:multiLevelType w:val="hybridMultilevel"/>
    <w:tmpl w:val="0198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04639"/>
    <w:multiLevelType w:val="hybridMultilevel"/>
    <w:tmpl w:val="4DCC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F6D0E"/>
    <w:multiLevelType w:val="hybridMultilevel"/>
    <w:tmpl w:val="160C311C"/>
    <w:lvl w:ilvl="0" w:tplc="1EA2924C">
      <w:start w:val="1"/>
      <w:numFmt w:val="decimal"/>
      <w:lvlText w:val="%1."/>
      <w:lvlJc w:val="left"/>
      <w:pPr>
        <w:ind w:left="735" w:hanging="45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7"/>
  </w:num>
  <w:num w:numId="2">
    <w:abstractNumId w:val="5"/>
  </w:num>
  <w:num w:numId="3">
    <w:abstractNumId w:val="4"/>
  </w:num>
  <w:num w:numId="4">
    <w:abstractNumId w:val="10"/>
  </w:num>
  <w:num w:numId="5">
    <w:abstractNumId w:val="3"/>
  </w:num>
  <w:num w:numId="6">
    <w:abstractNumId w:val="9"/>
  </w:num>
  <w:num w:numId="7">
    <w:abstractNumId w:val="8"/>
  </w:num>
  <w:num w:numId="8">
    <w:abstractNumId w:val="6"/>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1EA0"/>
    <w:rsid w:val="00007D26"/>
    <w:rsid w:val="00007D7C"/>
    <w:rsid w:val="00020479"/>
    <w:rsid w:val="00032DC3"/>
    <w:rsid w:val="000367D7"/>
    <w:rsid w:val="0004136C"/>
    <w:rsid w:val="00041D6F"/>
    <w:rsid w:val="00075112"/>
    <w:rsid w:val="0008223C"/>
    <w:rsid w:val="000A4574"/>
    <w:rsid w:val="000A5295"/>
    <w:rsid w:val="000A7E2D"/>
    <w:rsid w:val="000B2204"/>
    <w:rsid w:val="000C5073"/>
    <w:rsid w:val="000D4683"/>
    <w:rsid w:val="000E09E0"/>
    <w:rsid w:val="000E1393"/>
    <w:rsid w:val="000E2C6B"/>
    <w:rsid w:val="000F4B4B"/>
    <w:rsid w:val="00100F36"/>
    <w:rsid w:val="00103799"/>
    <w:rsid w:val="001050CD"/>
    <w:rsid w:val="00110714"/>
    <w:rsid w:val="00111670"/>
    <w:rsid w:val="001165CE"/>
    <w:rsid w:val="00134698"/>
    <w:rsid w:val="00143D76"/>
    <w:rsid w:val="0014449C"/>
    <w:rsid w:val="00145A09"/>
    <w:rsid w:val="001479F4"/>
    <w:rsid w:val="00156F83"/>
    <w:rsid w:val="00162536"/>
    <w:rsid w:val="001629B3"/>
    <w:rsid w:val="00174EEA"/>
    <w:rsid w:val="00176142"/>
    <w:rsid w:val="00185EF5"/>
    <w:rsid w:val="0018777E"/>
    <w:rsid w:val="0019006A"/>
    <w:rsid w:val="00192451"/>
    <w:rsid w:val="001B7107"/>
    <w:rsid w:val="001C1C7F"/>
    <w:rsid w:val="001C633E"/>
    <w:rsid w:val="001D2811"/>
    <w:rsid w:val="001D5DD0"/>
    <w:rsid w:val="001E0BC6"/>
    <w:rsid w:val="001E4539"/>
    <w:rsid w:val="001E4FA1"/>
    <w:rsid w:val="001F1522"/>
    <w:rsid w:val="001F36C5"/>
    <w:rsid w:val="00212D72"/>
    <w:rsid w:val="0021636F"/>
    <w:rsid w:val="00216D27"/>
    <w:rsid w:val="00223619"/>
    <w:rsid w:val="00225822"/>
    <w:rsid w:val="00235598"/>
    <w:rsid w:val="00235B9D"/>
    <w:rsid w:val="002373E9"/>
    <w:rsid w:val="002400A5"/>
    <w:rsid w:val="002509F2"/>
    <w:rsid w:val="002570A5"/>
    <w:rsid w:val="002677DA"/>
    <w:rsid w:val="00277602"/>
    <w:rsid w:val="002843D5"/>
    <w:rsid w:val="002A5742"/>
    <w:rsid w:val="002A6C4B"/>
    <w:rsid w:val="002B3533"/>
    <w:rsid w:val="002C5BD2"/>
    <w:rsid w:val="002D3A41"/>
    <w:rsid w:val="002D3ED3"/>
    <w:rsid w:val="002D426F"/>
    <w:rsid w:val="002D5913"/>
    <w:rsid w:val="002E6C24"/>
    <w:rsid w:val="002F0485"/>
    <w:rsid w:val="002F1167"/>
    <w:rsid w:val="002F26B8"/>
    <w:rsid w:val="003002F5"/>
    <w:rsid w:val="003070E3"/>
    <w:rsid w:val="00327527"/>
    <w:rsid w:val="00332F0D"/>
    <w:rsid w:val="00355F66"/>
    <w:rsid w:val="0037097D"/>
    <w:rsid w:val="0037156D"/>
    <w:rsid w:val="003846CC"/>
    <w:rsid w:val="00390968"/>
    <w:rsid w:val="00392CEA"/>
    <w:rsid w:val="003A630B"/>
    <w:rsid w:val="003C333D"/>
    <w:rsid w:val="003F050E"/>
    <w:rsid w:val="00412382"/>
    <w:rsid w:val="00425AB3"/>
    <w:rsid w:val="00425B08"/>
    <w:rsid w:val="00426463"/>
    <w:rsid w:val="00426A75"/>
    <w:rsid w:val="004309C9"/>
    <w:rsid w:val="00431D4A"/>
    <w:rsid w:val="00432D30"/>
    <w:rsid w:val="00440C50"/>
    <w:rsid w:val="004522C4"/>
    <w:rsid w:val="004622E6"/>
    <w:rsid w:val="00463169"/>
    <w:rsid w:val="00474093"/>
    <w:rsid w:val="0048246C"/>
    <w:rsid w:val="00492BAC"/>
    <w:rsid w:val="00493AD5"/>
    <w:rsid w:val="004A31BB"/>
    <w:rsid w:val="004B0B10"/>
    <w:rsid w:val="004B3452"/>
    <w:rsid w:val="004B6D7D"/>
    <w:rsid w:val="004D51C0"/>
    <w:rsid w:val="004D541D"/>
    <w:rsid w:val="004D61CA"/>
    <w:rsid w:val="004E00EA"/>
    <w:rsid w:val="004E0893"/>
    <w:rsid w:val="004E0AB0"/>
    <w:rsid w:val="004E5513"/>
    <w:rsid w:val="004E5B8D"/>
    <w:rsid w:val="004E5E30"/>
    <w:rsid w:val="004F0924"/>
    <w:rsid w:val="00511CAA"/>
    <w:rsid w:val="00514DFD"/>
    <w:rsid w:val="00521324"/>
    <w:rsid w:val="00524138"/>
    <w:rsid w:val="00545099"/>
    <w:rsid w:val="00555261"/>
    <w:rsid w:val="00571293"/>
    <w:rsid w:val="005713F6"/>
    <w:rsid w:val="005723B7"/>
    <w:rsid w:val="00582A55"/>
    <w:rsid w:val="005845AE"/>
    <w:rsid w:val="00585862"/>
    <w:rsid w:val="005A0294"/>
    <w:rsid w:val="005B1565"/>
    <w:rsid w:val="005B2DBF"/>
    <w:rsid w:val="005B7613"/>
    <w:rsid w:val="005C7EB6"/>
    <w:rsid w:val="005E10B0"/>
    <w:rsid w:val="005E6FFA"/>
    <w:rsid w:val="0061690C"/>
    <w:rsid w:val="00616FA4"/>
    <w:rsid w:val="00623FA6"/>
    <w:rsid w:val="0063381F"/>
    <w:rsid w:val="00636A6E"/>
    <w:rsid w:val="0064721D"/>
    <w:rsid w:val="00680623"/>
    <w:rsid w:val="00695E12"/>
    <w:rsid w:val="006A1658"/>
    <w:rsid w:val="006A263E"/>
    <w:rsid w:val="006B4494"/>
    <w:rsid w:val="006B528B"/>
    <w:rsid w:val="006B7A42"/>
    <w:rsid w:val="006C356A"/>
    <w:rsid w:val="006C3CC2"/>
    <w:rsid w:val="006C3F0D"/>
    <w:rsid w:val="006D00EC"/>
    <w:rsid w:val="006D058F"/>
    <w:rsid w:val="006E6CF7"/>
    <w:rsid w:val="006F099C"/>
    <w:rsid w:val="006F5CB7"/>
    <w:rsid w:val="006F6BE6"/>
    <w:rsid w:val="0070674B"/>
    <w:rsid w:val="00722BEC"/>
    <w:rsid w:val="00726ABE"/>
    <w:rsid w:val="007420C8"/>
    <w:rsid w:val="007458B4"/>
    <w:rsid w:val="00745F61"/>
    <w:rsid w:val="007464D0"/>
    <w:rsid w:val="00746AB0"/>
    <w:rsid w:val="00762C04"/>
    <w:rsid w:val="00766E0E"/>
    <w:rsid w:val="0077234F"/>
    <w:rsid w:val="00797511"/>
    <w:rsid w:val="007A34DC"/>
    <w:rsid w:val="007A3BC5"/>
    <w:rsid w:val="007A55A0"/>
    <w:rsid w:val="007A595A"/>
    <w:rsid w:val="007A765D"/>
    <w:rsid w:val="007B75B7"/>
    <w:rsid w:val="007C5885"/>
    <w:rsid w:val="00804210"/>
    <w:rsid w:val="00807540"/>
    <w:rsid w:val="00814223"/>
    <w:rsid w:val="00832B21"/>
    <w:rsid w:val="008417F4"/>
    <w:rsid w:val="00843AE8"/>
    <w:rsid w:val="00847CB9"/>
    <w:rsid w:val="00862090"/>
    <w:rsid w:val="008624A9"/>
    <w:rsid w:val="00862BA6"/>
    <w:rsid w:val="00863DAE"/>
    <w:rsid w:val="00866176"/>
    <w:rsid w:val="0088035A"/>
    <w:rsid w:val="00883099"/>
    <w:rsid w:val="00885980"/>
    <w:rsid w:val="00885C15"/>
    <w:rsid w:val="00891EF4"/>
    <w:rsid w:val="008927CC"/>
    <w:rsid w:val="008A230E"/>
    <w:rsid w:val="008A2AC0"/>
    <w:rsid w:val="008B1FE7"/>
    <w:rsid w:val="008B45F1"/>
    <w:rsid w:val="008C033F"/>
    <w:rsid w:val="008C1A4D"/>
    <w:rsid w:val="008C2578"/>
    <w:rsid w:val="008C7043"/>
    <w:rsid w:val="008D2E4E"/>
    <w:rsid w:val="008E03BB"/>
    <w:rsid w:val="008E2B9F"/>
    <w:rsid w:val="008E43E2"/>
    <w:rsid w:val="008F126F"/>
    <w:rsid w:val="008F21AB"/>
    <w:rsid w:val="008F2F93"/>
    <w:rsid w:val="008F3417"/>
    <w:rsid w:val="00910CD8"/>
    <w:rsid w:val="00912C53"/>
    <w:rsid w:val="00913822"/>
    <w:rsid w:val="00914790"/>
    <w:rsid w:val="00915096"/>
    <w:rsid w:val="00923127"/>
    <w:rsid w:val="00925A06"/>
    <w:rsid w:val="00925B23"/>
    <w:rsid w:val="00926FB5"/>
    <w:rsid w:val="00927742"/>
    <w:rsid w:val="00930185"/>
    <w:rsid w:val="009353BA"/>
    <w:rsid w:val="00937B9A"/>
    <w:rsid w:val="00946D4C"/>
    <w:rsid w:val="00947248"/>
    <w:rsid w:val="009551BE"/>
    <w:rsid w:val="00964B9B"/>
    <w:rsid w:val="00970A41"/>
    <w:rsid w:val="009803B5"/>
    <w:rsid w:val="009A5A65"/>
    <w:rsid w:val="009B2F8F"/>
    <w:rsid w:val="009C553D"/>
    <w:rsid w:val="009D227E"/>
    <w:rsid w:val="009E6530"/>
    <w:rsid w:val="009F170C"/>
    <w:rsid w:val="009F1D14"/>
    <w:rsid w:val="00A164FE"/>
    <w:rsid w:val="00A25F4D"/>
    <w:rsid w:val="00A3284E"/>
    <w:rsid w:val="00A34E65"/>
    <w:rsid w:val="00A617A8"/>
    <w:rsid w:val="00A631EC"/>
    <w:rsid w:val="00A67298"/>
    <w:rsid w:val="00A72FE4"/>
    <w:rsid w:val="00A80499"/>
    <w:rsid w:val="00A86F8D"/>
    <w:rsid w:val="00AB03DB"/>
    <w:rsid w:val="00AC08B3"/>
    <w:rsid w:val="00AC1EB1"/>
    <w:rsid w:val="00AC41E1"/>
    <w:rsid w:val="00AC4EC1"/>
    <w:rsid w:val="00AC548F"/>
    <w:rsid w:val="00AD12D4"/>
    <w:rsid w:val="00AD5B07"/>
    <w:rsid w:val="00AE26B4"/>
    <w:rsid w:val="00AF4B2B"/>
    <w:rsid w:val="00B01DDD"/>
    <w:rsid w:val="00B02AB4"/>
    <w:rsid w:val="00B1304B"/>
    <w:rsid w:val="00B13970"/>
    <w:rsid w:val="00B13BB4"/>
    <w:rsid w:val="00B22C49"/>
    <w:rsid w:val="00B314EC"/>
    <w:rsid w:val="00B518AC"/>
    <w:rsid w:val="00B54FDA"/>
    <w:rsid w:val="00B82917"/>
    <w:rsid w:val="00BA50EF"/>
    <w:rsid w:val="00BB7626"/>
    <w:rsid w:val="00BB765B"/>
    <w:rsid w:val="00BD4BFA"/>
    <w:rsid w:val="00BD7C38"/>
    <w:rsid w:val="00C05247"/>
    <w:rsid w:val="00C05F49"/>
    <w:rsid w:val="00C208E1"/>
    <w:rsid w:val="00C20EF1"/>
    <w:rsid w:val="00C240F0"/>
    <w:rsid w:val="00C24ABA"/>
    <w:rsid w:val="00C469C3"/>
    <w:rsid w:val="00C47746"/>
    <w:rsid w:val="00C54ECA"/>
    <w:rsid w:val="00C6313E"/>
    <w:rsid w:val="00C663C1"/>
    <w:rsid w:val="00C70B8A"/>
    <w:rsid w:val="00C7122A"/>
    <w:rsid w:val="00C725D9"/>
    <w:rsid w:val="00C86859"/>
    <w:rsid w:val="00C878CA"/>
    <w:rsid w:val="00C9459A"/>
    <w:rsid w:val="00CA3960"/>
    <w:rsid w:val="00CA7BD0"/>
    <w:rsid w:val="00CC1618"/>
    <w:rsid w:val="00CC4FE5"/>
    <w:rsid w:val="00CD0C6C"/>
    <w:rsid w:val="00CD0F06"/>
    <w:rsid w:val="00CD5B3B"/>
    <w:rsid w:val="00CE1165"/>
    <w:rsid w:val="00CE57CD"/>
    <w:rsid w:val="00CF0524"/>
    <w:rsid w:val="00CF0DEE"/>
    <w:rsid w:val="00CF6A40"/>
    <w:rsid w:val="00CF7B37"/>
    <w:rsid w:val="00D0238A"/>
    <w:rsid w:val="00D06E9C"/>
    <w:rsid w:val="00D23408"/>
    <w:rsid w:val="00D31443"/>
    <w:rsid w:val="00D317A2"/>
    <w:rsid w:val="00D32808"/>
    <w:rsid w:val="00D40803"/>
    <w:rsid w:val="00D47B1B"/>
    <w:rsid w:val="00D51E49"/>
    <w:rsid w:val="00D524F0"/>
    <w:rsid w:val="00D56C66"/>
    <w:rsid w:val="00D57902"/>
    <w:rsid w:val="00D62395"/>
    <w:rsid w:val="00D62DD7"/>
    <w:rsid w:val="00D73968"/>
    <w:rsid w:val="00D74AB0"/>
    <w:rsid w:val="00D86F1D"/>
    <w:rsid w:val="00DA7D67"/>
    <w:rsid w:val="00DC01FB"/>
    <w:rsid w:val="00DC0D20"/>
    <w:rsid w:val="00DC24B1"/>
    <w:rsid w:val="00DC5166"/>
    <w:rsid w:val="00DC5448"/>
    <w:rsid w:val="00DD5181"/>
    <w:rsid w:val="00DF6D09"/>
    <w:rsid w:val="00DF7FC9"/>
    <w:rsid w:val="00E00E76"/>
    <w:rsid w:val="00E059E4"/>
    <w:rsid w:val="00E06715"/>
    <w:rsid w:val="00E11ECE"/>
    <w:rsid w:val="00E41CCE"/>
    <w:rsid w:val="00E52E58"/>
    <w:rsid w:val="00E562FC"/>
    <w:rsid w:val="00E5659A"/>
    <w:rsid w:val="00E73480"/>
    <w:rsid w:val="00E73DBC"/>
    <w:rsid w:val="00E80A69"/>
    <w:rsid w:val="00E90DF3"/>
    <w:rsid w:val="00E939F9"/>
    <w:rsid w:val="00E94A9C"/>
    <w:rsid w:val="00E967E0"/>
    <w:rsid w:val="00EA02CB"/>
    <w:rsid w:val="00EA0F6C"/>
    <w:rsid w:val="00EA35E7"/>
    <w:rsid w:val="00EA54F9"/>
    <w:rsid w:val="00EA56BC"/>
    <w:rsid w:val="00EA62BF"/>
    <w:rsid w:val="00EA7330"/>
    <w:rsid w:val="00ED3087"/>
    <w:rsid w:val="00ED4E87"/>
    <w:rsid w:val="00ED54D5"/>
    <w:rsid w:val="00ED59F7"/>
    <w:rsid w:val="00ED5A35"/>
    <w:rsid w:val="00EE176D"/>
    <w:rsid w:val="00EE2A4C"/>
    <w:rsid w:val="00EF0835"/>
    <w:rsid w:val="00EF3534"/>
    <w:rsid w:val="00F00784"/>
    <w:rsid w:val="00F03549"/>
    <w:rsid w:val="00F167C4"/>
    <w:rsid w:val="00F25991"/>
    <w:rsid w:val="00F266F9"/>
    <w:rsid w:val="00F26BAE"/>
    <w:rsid w:val="00F53257"/>
    <w:rsid w:val="00F55ABE"/>
    <w:rsid w:val="00F67D20"/>
    <w:rsid w:val="00F70828"/>
    <w:rsid w:val="00F75C71"/>
    <w:rsid w:val="00F855D4"/>
    <w:rsid w:val="00F87F4A"/>
    <w:rsid w:val="00F91C8B"/>
    <w:rsid w:val="00FA1954"/>
    <w:rsid w:val="00FA2340"/>
    <w:rsid w:val="00FA2AE3"/>
    <w:rsid w:val="00FA31AE"/>
    <w:rsid w:val="00FA6D19"/>
    <w:rsid w:val="00FB6D27"/>
    <w:rsid w:val="00FC4284"/>
    <w:rsid w:val="00FC643E"/>
    <w:rsid w:val="00FD3F72"/>
    <w:rsid w:val="00FD44D4"/>
    <w:rsid w:val="00FE2F2C"/>
    <w:rsid w:val="00FF21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6CDE9"/>
  <w14:defaultImageDpi w14:val="300"/>
  <w15:docId w15:val="{E657647A-3859-7049-B9BE-C3845BAD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110714"/>
    <w:pPr>
      <w:keepNext/>
      <w:keepLines/>
      <w:spacing w:before="40" w:after="0"/>
      <w:outlineLvl w:val="3"/>
    </w:pPr>
    <w:rPr>
      <w:rFonts w:ascii="Cambria" w:eastAsia="MS Gothic" w:hAnsi="Cambria"/>
      <w:i/>
      <w:iCs/>
      <w:color w:val="365F91"/>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Cambria" w:eastAsia="MS Gothic" w:hAnsi="Cambria"/>
      <w:color w:val="243F60"/>
    </w:rPr>
  </w:style>
  <w:style w:type="paragraph" w:styleId="Heading9">
    <w:name w:val="heading 9"/>
    <w:basedOn w:val="Normal"/>
    <w:next w:val="Normal"/>
    <w:link w:val="Heading9Char"/>
    <w:uiPriority w:val="9"/>
    <w:semiHidden/>
    <w:unhideWhenUsed/>
    <w:qFormat/>
    <w:rsid w:val="002D3ED3"/>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110714"/>
    <w:rPr>
      <w:rFonts w:ascii="Cambria" w:eastAsia="MS Gothic" w:hAnsi="Cambria" w:cs="Times New Roman"/>
      <w:i/>
      <w:iCs/>
      <w:color w:val="365F91"/>
      <w:sz w:val="22"/>
      <w:szCs w:val="22"/>
    </w:rPr>
  </w:style>
  <w:style w:type="character" w:customStyle="1" w:styleId="Heading6Char">
    <w:name w:val="Heading 6 Char"/>
    <w:link w:val="Heading6"/>
    <w:uiPriority w:val="9"/>
    <w:semiHidden/>
    <w:rsid w:val="00110714"/>
    <w:rPr>
      <w:rFonts w:ascii="Cambria" w:eastAsia="MS Gothic" w:hAnsi="Cambria" w:cs="Times New Roman"/>
      <w:color w:val="243F60"/>
      <w:sz w:val="22"/>
      <w:szCs w:val="22"/>
    </w:rPr>
  </w:style>
  <w:style w:type="character" w:customStyle="1" w:styleId="Heading9Char">
    <w:name w:val="Heading 9 Char"/>
    <w:link w:val="Heading9"/>
    <w:uiPriority w:val="9"/>
    <w:semiHidden/>
    <w:rsid w:val="002D3ED3"/>
    <w:rPr>
      <w:rFonts w:ascii="Calibri Light" w:eastAsia="Times New Roman" w:hAnsi="Calibri Light" w:cs="Times New Roman"/>
      <w:sz w:val="22"/>
      <w:szCs w:val="22"/>
    </w:rPr>
  </w:style>
  <w:style w:type="paragraph" w:styleId="PlainText">
    <w:name w:val="Plain Text"/>
    <w:aliases w:val=" Char1,Char1"/>
    <w:basedOn w:val="Normal"/>
    <w:link w:val="PlainTextChar"/>
    <w:uiPriority w:val="99"/>
    <w:rsid w:val="002D3ED3"/>
    <w:pPr>
      <w:spacing w:after="0" w:line="240" w:lineRule="auto"/>
      <w:ind w:left="0"/>
      <w:jc w:val="left"/>
    </w:pPr>
    <w:rPr>
      <w:rFonts w:ascii="Courier New" w:hAnsi="Courier New" w:cs="Courier New"/>
      <w:sz w:val="20"/>
      <w:szCs w:val="20"/>
    </w:rPr>
  </w:style>
  <w:style w:type="character" w:customStyle="1" w:styleId="PlainTextChar">
    <w:name w:val="Plain Text Char"/>
    <w:aliases w:val=" Char1 Char,Char1 Char"/>
    <w:link w:val="PlainText"/>
    <w:uiPriority w:val="99"/>
    <w:rsid w:val="002D3ED3"/>
    <w:rPr>
      <w:rFonts w:ascii="Courier New" w:hAnsi="Courier New" w:cs="Courier New"/>
    </w:rPr>
  </w:style>
  <w:style w:type="paragraph" w:styleId="BlockText">
    <w:name w:val="Block Text"/>
    <w:basedOn w:val="Normal"/>
    <w:unhideWhenUsed/>
    <w:rsid w:val="002D3ED3"/>
    <w:pPr>
      <w:spacing w:after="0" w:line="240" w:lineRule="auto"/>
      <w:ind w:left="-720" w:right="-990"/>
    </w:pPr>
    <w:rPr>
      <w:rFonts w:ascii="Times New Roman" w:eastAsia="Times New Roman" w:hAnsi="Times New Roman"/>
      <w:b/>
      <w:bCs/>
      <w:sz w:val="32"/>
      <w:szCs w:val="24"/>
      <w:lang w:val="ro-RO"/>
    </w:rPr>
  </w:style>
  <w:style w:type="character" w:styleId="Hyperlink">
    <w:name w:val="Hyperlink"/>
    <w:uiPriority w:val="99"/>
    <w:unhideWhenUsed/>
    <w:rsid w:val="009B2F8F"/>
    <w:rPr>
      <w:color w:val="0563C1"/>
      <w:u w:val="single"/>
    </w:rPr>
  </w:style>
  <w:style w:type="character" w:customStyle="1" w:styleId="UnresolvedMention1">
    <w:name w:val="Unresolved Mention1"/>
    <w:uiPriority w:val="99"/>
    <w:semiHidden/>
    <w:unhideWhenUsed/>
    <w:rsid w:val="009B2F8F"/>
    <w:rPr>
      <w:color w:val="605E5C"/>
      <w:shd w:val="clear" w:color="auto" w:fill="E1DFDD"/>
    </w:rPr>
  </w:style>
  <w:style w:type="paragraph" w:styleId="ListParagraph">
    <w:name w:val="List Paragraph"/>
    <w:basedOn w:val="Normal"/>
    <w:uiPriority w:val="34"/>
    <w:qFormat/>
    <w:rsid w:val="00D62DD7"/>
    <w:pPr>
      <w:spacing w:after="160" w:line="259" w:lineRule="auto"/>
      <w:ind w:left="720"/>
      <w:contextualSpacing/>
      <w:jc w:val="left"/>
    </w:pPr>
    <w:rPr>
      <w:rFonts w:ascii="Calibri" w:eastAsia="Calibri" w:hAnsi="Calibri"/>
    </w:rPr>
  </w:style>
  <w:style w:type="character" w:styleId="PlaceholderText">
    <w:name w:val="Placeholder Text"/>
    <w:basedOn w:val="DefaultParagraphFont"/>
    <w:uiPriority w:val="99"/>
    <w:unhideWhenUsed/>
    <w:rsid w:val="00D56C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427">
      <w:bodyDiv w:val="1"/>
      <w:marLeft w:val="0"/>
      <w:marRight w:val="0"/>
      <w:marTop w:val="0"/>
      <w:marBottom w:val="0"/>
      <w:divBdr>
        <w:top w:val="none" w:sz="0" w:space="0" w:color="auto"/>
        <w:left w:val="none" w:sz="0" w:space="0" w:color="auto"/>
        <w:bottom w:val="none" w:sz="0" w:space="0" w:color="auto"/>
        <w:right w:val="none" w:sz="0" w:space="0" w:color="auto"/>
      </w:divBdr>
    </w:div>
    <w:div w:id="531651159">
      <w:bodyDiv w:val="1"/>
      <w:marLeft w:val="0"/>
      <w:marRight w:val="0"/>
      <w:marTop w:val="0"/>
      <w:marBottom w:val="0"/>
      <w:divBdr>
        <w:top w:val="none" w:sz="0" w:space="0" w:color="auto"/>
        <w:left w:val="none" w:sz="0" w:space="0" w:color="auto"/>
        <w:bottom w:val="none" w:sz="0" w:space="0" w:color="auto"/>
        <w:right w:val="none" w:sz="0" w:space="0" w:color="auto"/>
      </w:divBdr>
    </w:div>
    <w:div w:id="891620280">
      <w:bodyDiv w:val="1"/>
      <w:marLeft w:val="0"/>
      <w:marRight w:val="0"/>
      <w:marTop w:val="0"/>
      <w:marBottom w:val="0"/>
      <w:divBdr>
        <w:top w:val="none" w:sz="0" w:space="0" w:color="auto"/>
        <w:left w:val="none" w:sz="0" w:space="0" w:color="auto"/>
        <w:bottom w:val="none" w:sz="0" w:space="0" w:color="auto"/>
        <w:right w:val="none" w:sz="0" w:space="0" w:color="auto"/>
      </w:divBdr>
    </w:div>
    <w:div w:id="1043673808">
      <w:bodyDiv w:val="1"/>
      <w:marLeft w:val="0"/>
      <w:marRight w:val="0"/>
      <w:marTop w:val="0"/>
      <w:marBottom w:val="0"/>
      <w:divBdr>
        <w:top w:val="none" w:sz="0" w:space="0" w:color="auto"/>
        <w:left w:val="none" w:sz="0" w:space="0" w:color="auto"/>
        <w:bottom w:val="none" w:sz="0" w:space="0" w:color="auto"/>
        <w:right w:val="none" w:sz="0" w:space="0" w:color="auto"/>
      </w:divBdr>
    </w:div>
    <w:div w:id="1473715292">
      <w:bodyDiv w:val="1"/>
      <w:marLeft w:val="0"/>
      <w:marRight w:val="0"/>
      <w:marTop w:val="0"/>
      <w:marBottom w:val="0"/>
      <w:divBdr>
        <w:top w:val="none" w:sz="0" w:space="0" w:color="auto"/>
        <w:left w:val="none" w:sz="0" w:space="0" w:color="auto"/>
        <w:bottom w:val="none" w:sz="0" w:space="0" w:color="auto"/>
        <w:right w:val="none" w:sz="0" w:space="0" w:color="auto"/>
      </w:divBdr>
    </w:div>
    <w:div w:id="1483693754">
      <w:bodyDiv w:val="1"/>
      <w:marLeft w:val="0"/>
      <w:marRight w:val="0"/>
      <w:marTop w:val="0"/>
      <w:marBottom w:val="0"/>
      <w:divBdr>
        <w:top w:val="none" w:sz="0" w:space="0" w:color="auto"/>
        <w:left w:val="none" w:sz="0" w:space="0" w:color="auto"/>
        <w:bottom w:val="none" w:sz="0" w:space="0" w:color="auto"/>
        <w:right w:val="none" w:sz="0" w:space="0" w:color="auto"/>
      </w:divBdr>
    </w:div>
    <w:div w:id="158217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520min%25204%2520radu\template.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2C7DE-6699-4D8D-9A51-FA40523E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4</cp:revision>
  <cp:lastPrinted>2020-02-03T15:29:00Z</cp:lastPrinted>
  <dcterms:created xsi:type="dcterms:W3CDTF">2022-03-08T13:06:00Z</dcterms:created>
  <dcterms:modified xsi:type="dcterms:W3CDTF">2022-03-08T13:10:00Z</dcterms:modified>
</cp:coreProperties>
</file>