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9817" w14:textId="77777777" w:rsidR="0017338F" w:rsidRPr="00C50F59" w:rsidRDefault="006B502F" w:rsidP="00FC3B1A">
      <w:pPr>
        <w:spacing w:after="0" w:line="240" w:lineRule="auto"/>
        <w:ind w:left="0" w:right="-22"/>
        <w:rPr>
          <w:lang w:val="ro-RO"/>
        </w:rPr>
      </w:pPr>
      <w:r w:rsidRPr="00C50F59">
        <w:rPr>
          <w:lang w:val="ro-RO"/>
        </w:rPr>
        <w:t xml:space="preserve">                  </w:t>
      </w:r>
    </w:p>
    <w:p w14:paraId="78077C19" w14:textId="77777777" w:rsidR="00687135" w:rsidRPr="00C50F59" w:rsidRDefault="00923481" w:rsidP="00FC3B1A">
      <w:pPr>
        <w:spacing w:after="0" w:line="240" w:lineRule="auto"/>
        <w:ind w:left="-180" w:right="-22"/>
        <w:rPr>
          <w:b/>
          <w:color w:val="D0CECE" w:themeColor="background2" w:themeShade="E6"/>
          <w:lang w:val="ro-RO"/>
        </w:rPr>
      </w:pPr>
      <w:r w:rsidRPr="00C50F59">
        <w:rPr>
          <w:b/>
          <w:color w:val="D0CECE" w:themeColor="background2" w:themeShade="E6"/>
          <w:lang w:val="ro-RO"/>
        </w:rPr>
        <w:t>D</w:t>
      </w:r>
      <w:r w:rsidR="00683FB4" w:rsidRPr="00C50F59">
        <w:rPr>
          <w:b/>
          <w:color w:val="D0CECE" w:themeColor="background2" w:themeShade="E6"/>
          <w:lang w:val="ro-RO"/>
        </w:rPr>
        <w:t>IRECȚIA GENERALĂ PLANUL NAȚIONAL DE REDRESARE ȘI REZILIENȚĂ</w:t>
      </w:r>
    </w:p>
    <w:p w14:paraId="5230D1CD" w14:textId="77777777" w:rsidR="00683FB4" w:rsidRPr="00C50F59" w:rsidRDefault="00683FB4" w:rsidP="00FC3B1A">
      <w:pPr>
        <w:spacing w:after="0" w:line="240" w:lineRule="auto"/>
        <w:ind w:left="-180" w:right="-22"/>
        <w:rPr>
          <w:color w:val="D0CECE" w:themeColor="background2" w:themeShade="E6"/>
          <w:lang w:val="ro-RO"/>
        </w:rPr>
      </w:pPr>
    </w:p>
    <w:p w14:paraId="35ED9617" w14:textId="7AD1E069" w:rsidR="00687135" w:rsidRPr="00C50F59" w:rsidRDefault="00687135" w:rsidP="00FC3B1A">
      <w:pPr>
        <w:keepNext/>
        <w:spacing w:after="0" w:line="240" w:lineRule="auto"/>
        <w:ind w:left="-180" w:right="-22"/>
        <w:rPr>
          <w:rFonts w:eastAsia="Times New Roman"/>
          <w:lang w:val="ro-RO"/>
        </w:rPr>
      </w:pPr>
      <w:r w:rsidRPr="00C50F59">
        <w:rPr>
          <w:rFonts w:eastAsia="Times New Roman"/>
          <w:lang w:val="ro-RO"/>
        </w:rPr>
        <w:t xml:space="preserve">Nr. </w:t>
      </w:r>
      <w:proofErr w:type="spellStart"/>
      <w:r w:rsidRPr="00C50F59">
        <w:rPr>
          <w:rFonts w:eastAsia="Times New Roman"/>
          <w:lang w:val="ro-RO"/>
        </w:rPr>
        <w:t>înreg</w:t>
      </w:r>
      <w:proofErr w:type="spellEnd"/>
      <w:r w:rsidRPr="00C50F59">
        <w:rPr>
          <w:rFonts w:eastAsia="Times New Roman"/>
          <w:lang w:val="ro-RO"/>
        </w:rPr>
        <w:t>.:</w:t>
      </w:r>
      <w:r w:rsidR="00C50F59">
        <w:rPr>
          <w:rFonts w:eastAsia="Times New Roman"/>
          <w:lang w:val="ro-RO"/>
        </w:rPr>
        <w:t xml:space="preserve"> </w:t>
      </w:r>
      <w:r w:rsidR="005C7060" w:rsidRPr="005C7060">
        <w:rPr>
          <w:b/>
          <w:bCs/>
          <w:shd w:val="clear" w:color="auto" w:fill="FFFFFF"/>
          <w:lang w:val="ro-RO"/>
        </w:rPr>
        <w:t>DGPNRR/71625/10.11.2023</w:t>
      </w:r>
    </w:p>
    <w:p w14:paraId="76A3CA6B" w14:textId="77777777" w:rsidR="00F75BF0" w:rsidRPr="00C50F59" w:rsidRDefault="004C5596" w:rsidP="00FC3B1A">
      <w:pPr>
        <w:keepNext/>
        <w:tabs>
          <w:tab w:val="center" w:pos="8280"/>
        </w:tabs>
        <w:spacing w:after="0" w:line="240" w:lineRule="auto"/>
        <w:ind w:left="-180" w:right="-22"/>
        <w:rPr>
          <w:rFonts w:eastAsia="Times New Roman"/>
          <w:b/>
          <w:bCs/>
          <w:lang w:val="ro-RO"/>
        </w:rPr>
      </w:pPr>
      <w:r w:rsidRPr="00C50F59">
        <w:rPr>
          <w:rFonts w:eastAsia="Times New Roman"/>
          <w:b/>
          <w:bCs/>
          <w:lang w:val="ro-RO"/>
        </w:rPr>
        <w:t xml:space="preserve">                                                                               </w:t>
      </w:r>
      <w:r w:rsidR="00286082" w:rsidRPr="00C50F59">
        <w:rPr>
          <w:rFonts w:eastAsia="Times New Roman"/>
          <w:b/>
          <w:bCs/>
          <w:lang w:val="ro-RO"/>
        </w:rPr>
        <w:t xml:space="preserve">                    </w:t>
      </w:r>
      <w:r w:rsidRPr="00C50F59">
        <w:rPr>
          <w:rFonts w:eastAsia="Times New Roman"/>
          <w:b/>
          <w:bCs/>
          <w:lang w:val="ro-RO"/>
        </w:rPr>
        <w:t xml:space="preserve"> </w:t>
      </w:r>
    </w:p>
    <w:p w14:paraId="04995174" w14:textId="77777777" w:rsidR="00945D18" w:rsidRPr="00C50F59" w:rsidRDefault="00945D18" w:rsidP="00FC3B1A">
      <w:pPr>
        <w:tabs>
          <w:tab w:val="left" w:pos="1276"/>
        </w:tabs>
        <w:spacing w:after="0" w:line="240" w:lineRule="auto"/>
        <w:ind w:left="0" w:right="-22"/>
        <w:rPr>
          <w:rFonts w:eastAsia="Times New Roman"/>
          <w:lang w:val="ro-RO"/>
        </w:rPr>
      </w:pPr>
    </w:p>
    <w:p w14:paraId="08D675E2" w14:textId="77777777" w:rsidR="00683FB4" w:rsidRPr="00C50F59" w:rsidRDefault="00683FB4" w:rsidP="00FC3B1A">
      <w:pPr>
        <w:tabs>
          <w:tab w:val="left" w:pos="1276"/>
        </w:tabs>
        <w:spacing w:after="0" w:line="240" w:lineRule="auto"/>
        <w:ind w:left="0" w:right="-22"/>
        <w:rPr>
          <w:rFonts w:eastAsia="Times New Roman"/>
          <w:lang w:val="ro-RO"/>
        </w:rPr>
      </w:pPr>
    </w:p>
    <w:p w14:paraId="26750F0F" w14:textId="77777777" w:rsidR="00683FB4" w:rsidRPr="00C50F59" w:rsidRDefault="00683FB4" w:rsidP="00683FB4">
      <w:pPr>
        <w:spacing w:after="0" w:line="240" w:lineRule="auto"/>
        <w:rPr>
          <w:rFonts w:asciiTheme="majorHAnsi" w:eastAsiaTheme="minorHAnsi" w:hAnsiTheme="majorHAnsi"/>
          <w:b/>
          <w:kern w:val="0"/>
          <w:lang w:val="ro-RO" w:eastAsia="en-US"/>
        </w:rPr>
      </w:pPr>
    </w:p>
    <w:p w14:paraId="114A4E6A" w14:textId="2AFA8802" w:rsidR="00C50F59" w:rsidRPr="00C50F59" w:rsidRDefault="00683FB4" w:rsidP="00C50F59">
      <w:pPr>
        <w:spacing w:after="0" w:line="240" w:lineRule="auto"/>
        <w:ind w:left="5040" w:firstLine="720"/>
        <w:rPr>
          <w:b/>
          <w:lang w:val="ro-RO"/>
        </w:rPr>
      </w:pPr>
      <w:r w:rsidRPr="00C50F59">
        <w:rPr>
          <w:b/>
          <w:lang w:val="ro-RO"/>
        </w:rPr>
        <w:t xml:space="preserve">     </w:t>
      </w:r>
      <w:r w:rsidRPr="00C50F59">
        <w:rPr>
          <w:b/>
          <w:lang w:val="ro-RO"/>
        </w:rPr>
        <w:tab/>
      </w:r>
      <w:r w:rsidRPr="00C50F59">
        <w:rPr>
          <w:b/>
          <w:lang w:val="ro-RO"/>
        </w:rPr>
        <w:tab/>
        <w:t>Aprob,</w:t>
      </w:r>
    </w:p>
    <w:p w14:paraId="37C44312" w14:textId="6A3C864A" w:rsidR="00683FB4" w:rsidRPr="00C50F59" w:rsidRDefault="00683FB4" w:rsidP="00C50F59">
      <w:pPr>
        <w:spacing w:after="0" w:line="240" w:lineRule="auto"/>
        <w:ind w:left="7080"/>
        <w:rPr>
          <w:b/>
          <w:lang w:val="ro-RO"/>
        </w:rPr>
      </w:pPr>
      <w:r w:rsidRPr="00C50F59">
        <w:rPr>
          <w:b/>
          <w:lang w:val="ro-RO"/>
        </w:rPr>
        <w:t xml:space="preserve">Secretar de </w:t>
      </w:r>
      <w:r w:rsidR="00C50F59" w:rsidRPr="00C50F59">
        <w:rPr>
          <w:b/>
          <w:lang w:val="ro-RO"/>
        </w:rPr>
        <w:t>s</w:t>
      </w:r>
      <w:r w:rsidRPr="00C50F59">
        <w:rPr>
          <w:b/>
          <w:lang w:val="ro-RO"/>
        </w:rPr>
        <w:t xml:space="preserve">tat </w:t>
      </w:r>
    </w:p>
    <w:p w14:paraId="7F4DDBBB" w14:textId="77777777" w:rsidR="00683FB4" w:rsidRPr="00C50F59" w:rsidRDefault="00683FB4" w:rsidP="00C50F59">
      <w:pPr>
        <w:spacing w:after="0" w:line="240" w:lineRule="auto"/>
        <w:ind w:left="6372" w:firstLine="708"/>
        <w:jc w:val="left"/>
        <w:rPr>
          <w:b/>
          <w:lang w:val="ro-RO"/>
        </w:rPr>
      </w:pPr>
      <w:r w:rsidRPr="00C50F59">
        <w:rPr>
          <w:b/>
          <w:lang w:val="ro-RO"/>
        </w:rPr>
        <w:t>Cristian-Valer BEȘENI</w:t>
      </w:r>
    </w:p>
    <w:p w14:paraId="68F39F19" w14:textId="77777777" w:rsidR="00683FB4" w:rsidRPr="00C50F59" w:rsidRDefault="00683FB4" w:rsidP="00683FB4">
      <w:pPr>
        <w:spacing w:after="0" w:line="240" w:lineRule="auto"/>
        <w:jc w:val="left"/>
        <w:rPr>
          <w:b/>
          <w:lang w:val="ro-RO"/>
        </w:rPr>
      </w:pPr>
    </w:p>
    <w:p w14:paraId="652B802F" w14:textId="77777777" w:rsidR="00683FB4" w:rsidRPr="00C50F59" w:rsidRDefault="00683FB4" w:rsidP="00FC3B1A">
      <w:pPr>
        <w:tabs>
          <w:tab w:val="left" w:pos="1276"/>
        </w:tabs>
        <w:spacing w:after="0" w:line="240" w:lineRule="auto"/>
        <w:ind w:left="0" w:right="-22"/>
        <w:rPr>
          <w:rFonts w:eastAsia="Times New Roman"/>
          <w:lang w:val="ro-RO"/>
        </w:rPr>
      </w:pPr>
    </w:p>
    <w:p w14:paraId="50E17FD0" w14:textId="77777777" w:rsidR="00FC3B1A" w:rsidRPr="00C50F59" w:rsidRDefault="00FC3B1A" w:rsidP="00FC3B1A">
      <w:pPr>
        <w:keepNext/>
        <w:keepLines/>
        <w:tabs>
          <w:tab w:val="left" w:pos="0"/>
        </w:tabs>
        <w:spacing w:line="240" w:lineRule="auto"/>
        <w:ind w:left="-180" w:right="-22"/>
        <w:jc w:val="center"/>
        <w:rPr>
          <w:rFonts w:eastAsia="Times New Roman"/>
          <w:b/>
          <w:bCs/>
          <w:lang w:val="ro-RO"/>
        </w:rPr>
      </w:pPr>
    </w:p>
    <w:p w14:paraId="75F12840" w14:textId="77777777" w:rsidR="00033EB4" w:rsidRPr="00C50F59" w:rsidRDefault="00055C05" w:rsidP="00FC3B1A">
      <w:pPr>
        <w:keepNext/>
        <w:keepLines/>
        <w:tabs>
          <w:tab w:val="left" w:pos="0"/>
        </w:tabs>
        <w:spacing w:line="240" w:lineRule="auto"/>
        <w:ind w:left="-180" w:right="-22"/>
        <w:jc w:val="center"/>
        <w:rPr>
          <w:rFonts w:eastAsia="Times New Roman"/>
          <w:b/>
          <w:bCs/>
          <w:lang w:val="ro-RO"/>
        </w:rPr>
      </w:pPr>
      <w:r w:rsidRPr="00C50F59">
        <w:rPr>
          <w:rFonts w:eastAsia="Times New Roman"/>
          <w:b/>
          <w:bCs/>
          <w:lang w:val="ro-RO"/>
        </w:rPr>
        <w:t>REFERAT DE APROBARE</w:t>
      </w:r>
    </w:p>
    <w:p w14:paraId="464D7CF7" w14:textId="77777777" w:rsidR="00427E83" w:rsidRPr="00C50F59" w:rsidRDefault="00427E83" w:rsidP="00427E83">
      <w:pPr>
        <w:keepNext/>
        <w:keepLines/>
        <w:tabs>
          <w:tab w:val="left" w:pos="0"/>
        </w:tabs>
        <w:spacing w:line="240" w:lineRule="auto"/>
        <w:ind w:left="-180" w:right="-22"/>
        <w:jc w:val="center"/>
        <w:rPr>
          <w:rFonts w:eastAsia="Times New Roman"/>
          <w:b/>
          <w:bCs/>
          <w:lang w:val="ro-RO"/>
        </w:rPr>
      </w:pPr>
    </w:p>
    <w:p w14:paraId="4C960D0D" w14:textId="3EEB36AC" w:rsidR="00033EB4" w:rsidRPr="00C50F59" w:rsidRDefault="00427E83" w:rsidP="00C50F59">
      <w:pPr>
        <w:widowControl w:val="0"/>
        <w:tabs>
          <w:tab w:val="left" w:pos="9214"/>
        </w:tabs>
        <w:ind w:left="0" w:right="4"/>
        <w:jc w:val="center"/>
        <w:rPr>
          <w:b/>
          <w:bCs/>
          <w:lang w:val="ro-RO"/>
        </w:rPr>
      </w:pPr>
      <w:bookmarkStart w:id="0" w:name="_Hlk43108721"/>
      <w:r w:rsidRPr="00C50F59">
        <w:rPr>
          <w:b/>
          <w:bCs/>
          <w:lang w:val="ro-RO"/>
        </w:rPr>
        <w:t xml:space="preserve">privind </w:t>
      </w:r>
      <w:bookmarkStart w:id="1" w:name="_Hlk120020656"/>
      <w:r w:rsidRPr="00C50F59">
        <w:rPr>
          <w:b/>
          <w:bCs/>
          <w:lang w:val="ro-RO"/>
        </w:rPr>
        <w:t>modificarea și completarea anexei la Ordinul ministrului mediului, apelor și pădurilor nr. 2367/2022 pentru aprobarea Ghidului specific privind regulile și  condițiile de accesare a fondurilor</w:t>
      </w:r>
      <w:bookmarkStart w:id="2" w:name="_Hlk132968561"/>
      <w:r w:rsidRPr="00C50F59">
        <w:rPr>
          <w:b/>
          <w:bCs/>
          <w:lang w:val="ro-RO"/>
        </w:rPr>
        <w:t xml:space="preserve">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w:t>
      </w:r>
      <w:bookmarkEnd w:id="0"/>
      <w:bookmarkEnd w:id="1"/>
      <w:bookmarkEnd w:id="2"/>
    </w:p>
    <w:p w14:paraId="3CD5CC23" w14:textId="77777777" w:rsidR="00C50F59" w:rsidRPr="00C50F59" w:rsidRDefault="00C50F59" w:rsidP="00C50F59">
      <w:pPr>
        <w:widowControl w:val="0"/>
        <w:tabs>
          <w:tab w:val="left" w:pos="9214"/>
        </w:tabs>
        <w:ind w:left="0" w:right="4"/>
        <w:jc w:val="center"/>
        <w:rPr>
          <w:b/>
          <w:bCs/>
          <w:lang w:val="ro-RO"/>
        </w:rPr>
      </w:pPr>
    </w:p>
    <w:p w14:paraId="337F7A8C" w14:textId="77777777" w:rsidR="007173CB" w:rsidRPr="00C50F59" w:rsidRDefault="0024464F" w:rsidP="004A73E2">
      <w:pPr>
        <w:spacing w:after="0" w:line="240" w:lineRule="auto"/>
        <w:ind w:left="0" w:right="-22" w:firstLine="708"/>
        <w:rPr>
          <w:bCs/>
          <w:lang w:val="ro-RO"/>
        </w:rPr>
      </w:pPr>
      <w:r w:rsidRPr="00C50F59">
        <w:rPr>
          <w:bCs/>
          <w:lang w:val="ro-RO"/>
        </w:rPr>
        <w:t xml:space="preserve">Ministerul Mediului, Apelor și Pădurilor gestionează, în calitate de coordonator de </w:t>
      </w:r>
      <w:r w:rsidR="00DF729B" w:rsidRPr="00C50F59">
        <w:rPr>
          <w:bCs/>
          <w:lang w:val="ro-RO"/>
        </w:rPr>
        <w:t xml:space="preserve">   </w:t>
      </w:r>
      <w:r w:rsidRPr="00C50F59">
        <w:rPr>
          <w:bCs/>
          <w:lang w:val="ro-RO"/>
        </w:rPr>
        <w:t>refor</w:t>
      </w:r>
      <w:r w:rsidR="00E45E58" w:rsidRPr="00C50F59">
        <w:rPr>
          <w:bCs/>
          <w:lang w:val="ro-RO"/>
        </w:rPr>
        <w:t xml:space="preserve">me și/sau investiții pentru Planul </w:t>
      </w:r>
      <w:r w:rsidR="001512D5" w:rsidRPr="00C50F59">
        <w:rPr>
          <w:bCs/>
          <w:lang w:val="ro-RO"/>
        </w:rPr>
        <w:t>n</w:t>
      </w:r>
      <w:r w:rsidR="00E45E58" w:rsidRPr="00C50F59">
        <w:rPr>
          <w:bCs/>
          <w:lang w:val="ro-RO"/>
        </w:rPr>
        <w:t xml:space="preserve">ațional de </w:t>
      </w:r>
      <w:r w:rsidR="001512D5" w:rsidRPr="00C50F59">
        <w:rPr>
          <w:bCs/>
          <w:lang w:val="ro-RO"/>
        </w:rPr>
        <w:t>r</w:t>
      </w:r>
      <w:r w:rsidR="00E45E58" w:rsidRPr="00C50F59">
        <w:rPr>
          <w:bCs/>
          <w:lang w:val="ro-RO"/>
        </w:rPr>
        <w:t xml:space="preserve">edresare și </w:t>
      </w:r>
      <w:r w:rsidR="001512D5" w:rsidRPr="00C50F59">
        <w:rPr>
          <w:bCs/>
          <w:lang w:val="ro-RO"/>
        </w:rPr>
        <w:t>r</w:t>
      </w:r>
      <w:r w:rsidR="00E45E58" w:rsidRPr="00C50F59">
        <w:rPr>
          <w:bCs/>
          <w:lang w:val="ro-RO"/>
        </w:rPr>
        <w:t>eziliență</w:t>
      </w:r>
      <w:r w:rsidR="00C60615" w:rsidRPr="00C50F59">
        <w:rPr>
          <w:bCs/>
          <w:lang w:val="ro-RO"/>
        </w:rPr>
        <w:t xml:space="preserve"> (PNRR)</w:t>
      </w:r>
      <w:r w:rsidR="005757BF" w:rsidRPr="00C50F59">
        <w:rPr>
          <w:bCs/>
          <w:lang w:val="ro-RO"/>
        </w:rPr>
        <w:t xml:space="preserve">, </w:t>
      </w:r>
      <w:r w:rsidRPr="00C50F59">
        <w:rPr>
          <w:bCs/>
          <w:lang w:val="ro-RO"/>
        </w:rPr>
        <w:t>următoarele componente:</w:t>
      </w:r>
    </w:p>
    <w:p w14:paraId="3C8D29FF" w14:textId="77777777" w:rsidR="0024464F" w:rsidRPr="00C50F59" w:rsidRDefault="009E1DAA" w:rsidP="004A73E2">
      <w:pPr>
        <w:numPr>
          <w:ilvl w:val="0"/>
          <w:numId w:val="14"/>
        </w:numPr>
        <w:spacing w:after="0" w:line="240" w:lineRule="auto"/>
        <w:ind w:left="993" w:right="-22"/>
        <w:rPr>
          <w:bCs/>
          <w:lang w:val="ro-RO"/>
        </w:rPr>
      </w:pPr>
      <w:r w:rsidRPr="00C50F59">
        <w:rPr>
          <w:bCs/>
          <w:lang w:val="ro-RO"/>
        </w:rPr>
        <w:t>Componenta 1 -</w:t>
      </w:r>
      <w:r w:rsidR="0024464F" w:rsidRPr="00C50F59">
        <w:rPr>
          <w:bCs/>
          <w:lang w:val="ro-RO"/>
        </w:rPr>
        <w:t xml:space="preserve"> Managementul apei</w:t>
      </w:r>
    </w:p>
    <w:p w14:paraId="0E90ED03" w14:textId="77777777" w:rsidR="0024464F" w:rsidRPr="00C50F59" w:rsidRDefault="0024464F" w:rsidP="004A73E2">
      <w:pPr>
        <w:numPr>
          <w:ilvl w:val="0"/>
          <w:numId w:val="14"/>
        </w:numPr>
        <w:spacing w:after="0" w:line="240" w:lineRule="auto"/>
        <w:ind w:left="993" w:right="-22"/>
        <w:rPr>
          <w:bCs/>
          <w:lang w:val="ro-RO"/>
        </w:rPr>
      </w:pPr>
      <w:r w:rsidRPr="00C50F59">
        <w:rPr>
          <w:bCs/>
          <w:lang w:val="ro-RO"/>
        </w:rPr>
        <w:t xml:space="preserve">Componenta </w:t>
      </w:r>
      <w:r w:rsidR="005757BF" w:rsidRPr="00C50F59">
        <w:rPr>
          <w:bCs/>
          <w:lang w:val="ro-RO"/>
        </w:rPr>
        <w:t>2 - Păduri și protecția biodiversității</w:t>
      </w:r>
    </w:p>
    <w:p w14:paraId="68E1499B" w14:textId="77777777" w:rsidR="005757BF" w:rsidRPr="00C50F59" w:rsidRDefault="009E1DAA" w:rsidP="004A73E2">
      <w:pPr>
        <w:numPr>
          <w:ilvl w:val="0"/>
          <w:numId w:val="14"/>
        </w:numPr>
        <w:spacing w:after="0" w:line="240" w:lineRule="auto"/>
        <w:ind w:left="993" w:right="-22"/>
        <w:rPr>
          <w:bCs/>
          <w:lang w:val="ro-RO"/>
        </w:rPr>
      </w:pPr>
      <w:r w:rsidRPr="00C50F59">
        <w:rPr>
          <w:bCs/>
          <w:lang w:val="ro-RO"/>
        </w:rPr>
        <w:t xml:space="preserve">Componenta 3 - </w:t>
      </w:r>
      <w:r w:rsidR="005757BF" w:rsidRPr="00C50F59">
        <w:rPr>
          <w:bCs/>
          <w:lang w:val="ro-RO"/>
        </w:rPr>
        <w:t>Managementul deșeurilor</w:t>
      </w:r>
    </w:p>
    <w:p w14:paraId="25D19E05" w14:textId="77777777" w:rsidR="00D4302D" w:rsidRPr="00C50F59" w:rsidRDefault="00923481" w:rsidP="002301BC">
      <w:pPr>
        <w:numPr>
          <w:ilvl w:val="0"/>
          <w:numId w:val="14"/>
        </w:numPr>
        <w:spacing w:after="0" w:line="240" w:lineRule="auto"/>
        <w:ind w:left="993" w:right="-22"/>
        <w:rPr>
          <w:bCs/>
          <w:lang w:val="ro-RO"/>
        </w:rPr>
      </w:pPr>
      <w:r w:rsidRPr="00C50F59">
        <w:rPr>
          <w:bCs/>
          <w:lang w:val="ro-RO"/>
        </w:rPr>
        <w:t>Componenta</w:t>
      </w:r>
      <w:r w:rsidR="005757BF" w:rsidRPr="00C50F59">
        <w:rPr>
          <w:bCs/>
          <w:lang w:val="ro-RO"/>
        </w:rPr>
        <w:t xml:space="preserve"> 7 -</w:t>
      </w:r>
      <w:r w:rsidRPr="00C50F59">
        <w:rPr>
          <w:bCs/>
          <w:lang w:val="ro-RO"/>
        </w:rPr>
        <w:t xml:space="preserve"> Transformarea digitală</w:t>
      </w:r>
    </w:p>
    <w:p w14:paraId="54640810" w14:textId="77777777" w:rsidR="00C50F59" w:rsidRPr="00C50F59" w:rsidRDefault="00C50F59" w:rsidP="00C50F59">
      <w:pPr>
        <w:spacing w:after="0" w:line="240" w:lineRule="auto"/>
        <w:ind w:left="993" w:right="-22"/>
        <w:rPr>
          <w:bCs/>
          <w:lang w:val="ro-RO"/>
        </w:rPr>
      </w:pPr>
    </w:p>
    <w:p w14:paraId="75A7F011" w14:textId="77777777" w:rsidR="001235AB" w:rsidRPr="00C50F59" w:rsidRDefault="00D4302D" w:rsidP="004A73E2">
      <w:pPr>
        <w:spacing w:after="0" w:line="240" w:lineRule="auto"/>
        <w:ind w:left="0" w:right="-22" w:firstLine="708"/>
        <w:rPr>
          <w:lang w:val="ro-RO"/>
        </w:rPr>
      </w:pPr>
      <w:r w:rsidRPr="00C50F59">
        <w:rPr>
          <w:lang w:val="ro-RO"/>
        </w:rPr>
        <w:t>Componenta C3 „Managementul deșeurilor”</w:t>
      </w:r>
      <w:r w:rsidRPr="00C50F59">
        <w:rPr>
          <w:i/>
          <w:iCs/>
          <w:lang w:val="ro-RO"/>
        </w:rPr>
        <w:t xml:space="preserve"> </w:t>
      </w:r>
      <w:r w:rsidRPr="00C50F59">
        <w:rPr>
          <w:lang w:val="ro-RO"/>
        </w:rPr>
        <w:t>din cadrul Planului național de redresare și reziliență face parte din Pilonul I. Tranziția verde.</w:t>
      </w:r>
    </w:p>
    <w:p w14:paraId="56E9DBAB" w14:textId="77777777" w:rsidR="00C50F59" w:rsidRPr="00C50F59" w:rsidRDefault="00C50F59" w:rsidP="004A73E2">
      <w:pPr>
        <w:spacing w:after="0" w:line="240" w:lineRule="auto"/>
        <w:ind w:left="0" w:right="-22" w:firstLine="708"/>
        <w:rPr>
          <w:lang w:val="ro-RO"/>
        </w:rPr>
      </w:pPr>
    </w:p>
    <w:p w14:paraId="46B1BC9A" w14:textId="77777777" w:rsidR="001235AB" w:rsidRPr="00C50F59" w:rsidRDefault="00D4302D" w:rsidP="004A73E2">
      <w:pPr>
        <w:spacing w:after="0" w:line="240" w:lineRule="auto"/>
        <w:ind w:left="0" w:right="-22" w:firstLine="708"/>
        <w:rPr>
          <w:lang w:val="ro-RO"/>
        </w:rPr>
      </w:pPr>
      <w:r w:rsidRPr="00C50F59">
        <w:rPr>
          <w:lang w:val="ro-RO"/>
        </w:rPr>
        <w:t>Obiectivul general al acestei componente reprezintă accelerarea procesului de extindere și modernizare a sistemelor de gestionare a deșeurilor în România, cu accent pe colectarea separată, măsuri de prevenție, reducere, reutilizare și valorificare în vederea conformării cu directivele aplicabile și tranziției la economia circulară.</w:t>
      </w:r>
    </w:p>
    <w:p w14:paraId="1C3CCEE7" w14:textId="77777777" w:rsidR="00C50F59" w:rsidRPr="00C50F59" w:rsidRDefault="00C50F59" w:rsidP="004A73E2">
      <w:pPr>
        <w:spacing w:after="0" w:line="240" w:lineRule="auto"/>
        <w:ind w:left="0" w:right="-22" w:firstLine="708"/>
        <w:rPr>
          <w:lang w:val="ro-RO"/>
        </w:rPr>
      </w:pPr>
    </w:p>
    <w:p w14:paraId="2B9D46AC" w14:textId="77777777" w:rsidR="00033EB4" w:rsidRPr="00C50F59" w:rsidRDefault="00D4302D" w:rsidP="004A73E2">
      <w:pPr>
        <w:spacing w:after="0" w:line="240" w:lineRule="auto"/>
        <w:ind w:left="0" w:right="-22" w:firstLine="708"/>
        <w:rPr>
          <w:lang w:val="ro-RO"/>
        </w:rPr>
      </w:pPr>
      <w:r w:rsidRPr="00C50F59">
        <w:rPr>
          <w:lang w:val="ro-RO"/>
        </w:rPr>
        <w:t>Managementul deșeurilor vizează îmbunătățirea implementării colectării separate, controlului și monitorizării parametrilor de calitate a mediului. În acest sens, obiectivul specific al componentei C3 „Managementul deșeurilor”</w:t>
      </w:r>
      <w:r w:rsidR="00761144" w:rsidRPr="00C50F59">
        <w:rPr>
          <w:i/>
          <w:iCs/>
          <w:lang w:val="ro-RO"/>
        </w:rPr>
        <w:t xml:space="preserve"> </w:t>
      </w:r>
      <w:r w:rsidRPr="00C50F59">
        <w:rPr>
          <w:lang w:val="ro-RO"/>
        </w:rPr>
        <w:t>îl reprezintă „dezvoltarea unui management al deșeurilor eficient, prin suplimentarea capacităților de colectare separată, pregătire pentru reutilizarea și valorificare a deșeurilor în vederea continuării</w:t>
      </w:r>
      <w:r w:rsidR="00865E2D" w:rsidRPr="00C50F59">
        <w:rPr>
          <w:lang w:val="ro-RO"/>
        </w:rPr>
        <w:t xml:space="preserve"> </w:t>
      </w:r>
      <w:r w:rsidRPr="00C50F59">
        <w:rPr>
          <w:lang w:val="ro-RO"/>
        </w:rPr>
        <w:t>procesului de conformare cu prevederile directivelor specific</w:t>
      </w:r>
      <w:r w:rsidR="0013579B" w:rsidRPr="00C50F59">
        <w:rPr>
          <w:lang w:val="ro-RO"/>
        </w:rPr>
        <w:t>e</w:t>
      </w:r>
      <w:r w:rsidRPr="00C50F59">
        <w:rPr>
          <w:lang w:val="ro-RO"/>
        </w:rPr>
        <w:t xml:space="preserve"> și a tranziției la economia circulară.</w:t>
      </w:r>
    </w:p>
    <w:p w14:paraId="4BAD0F72" w14:textId="77777777" w:rsidR="00033EB4" w:rsidRPr="00C50F59" w:rsidRDefault="00B82CD7" w:rsidP="004A73E2">
      <w:pPr>
        <w:spacing w:after="0" w:line="240" w:lineRule="auto"/>
        <w:ind w:left="0" w:right="-22" w:firstLine="708"/>
        <w:rPr>
          <w:lang w:val="ro-RO"/>
        </w:rPr>
      </w:pPr>
      <w:r w:rsidRPr="00C50F59">
        <w:rPr>
          <w:lang w:val="ro-RO"/>
        </w:rPr>
        <w:lastRenderedPageBreak/>
        <w:t xml:space="preserve">Componenta 3 </w:t>
      </w:r>
      <w:r w:rsidR="00DF729B" w:rsidRPr="00C50F59">
        <w:rPr>
          <w:lang w:val="ro-RO"/>
        </w:rPr>
        <w:t>„</w:t>
      </w:r>
      <w:r w:rsidRPr="00C50F59">
        <w:rPr>
          <w:lang w:val="ro-RO"/>
        </w:rPr>
        <w:t>Managementul deșeurilor</w:t>
      </w:r>
      <w:r w:rsidR="00DF729B" w:rsidRPr="00C50F59">
        <w:rPr>
          <w:lang w:val="ro-RO"/>
        </w:rPr>
        <w:t>”</w:t>
      </w:r>
      <w:r w:rsidRPr="00C50F59">
        <w:rPr>
          <w:lang w:val="ro-RO"/>
        </w:rPr>
        <w:t xml:space="preserve"> includ</w:t>
      </w:r>
      <w:r w:rsidR="00DF729B" w:rsidRPr="00C50F59">
        <w:rPr>
          <w:lang w:val="ro-RO"/>
        </w:rPr>
        <w:t xml:space="preserve">e </w:t>
      </w:r>
      <w:r w:rsidRPr="00C50F59">
        <w:rPr>
          <w:lang w:val="ro-RO"/>
        </w:rPr>
        <w:t>Investiția I1. "Dezvoltarea, modernizarea și completarea sistemelor de management integrat al deșeurilor municipale la nivel de județ sau la nivel de orașe/comune" are ca obiectiv</w:t>
      </w:r>
      <w:r w:rsidR="00C60615" w:rsidRPr="00C50F59">
        <w:rPr>
          <w:lang w:val="ro-RO"/>
        </w:rPr>
        <w:t xml:space="preserve"> dezvoltarea și modernizarea sistemelor de management integrat al deșeurilor și infrastructura de gestionare a deșeurilor publice la nivel de județ sau la nivel de orașe/comune.</w:t>
      </w:r>
    </w:p>
    <w:p w14:paraId="545CAB94" w14:textId="77777777" w:rsidR="00C50F59" w:rsidRPr="00C50F59" w:rsidRDefault="00C50F59" w:rsidP="004A73E2">
      <w:pPr>
        <w:spacing w:after="0" w:line="240" w:lineRule="auto"/>
        <w:ind w:left="0" w:right="-22" w:firstLine="708"/>
        <w:rPr>
          <w:lang w:val="ro-RO"/>
        </w:rPr>
      </w:pPr>
    </w:p>
    <w:p w14:paraId="493675E2" w14:textId="4549ACA3" w:rsidR="002301BC" w:rsidRPr="00C50F59" w:rsidRDefault="00B82CD7" w:rsidP="002301BC">
      <w:pPr>
        <w:spacing w:after="0" w:line="240" w:lineRule="auto"/>
        <w:ind w:left="0" w:right="-22" w:firstLine="708"/>
        <w:rPr>
          <w:lang w:val="ro-RO"/>
        </w:rPr>
      </w:pPr>
      <w:r w:rsidRPr="00C50F59">
        <w:rPr>
          <w:lang w:val="ro-RO"/>
        </w:rPr>
        <w:t xml:space="preserve">Implementarea </w:t>
      </w:r>
      <w:r w:rsidR="00DF729B" w:rsidRPr="00C50F59">
        <w:rPr>
          <w:lang w:val="ro-RO"/>
        </w:rPr>
        <w:t xml:space="preserve">acestei </w:t>
      </w:r>
      <w:r w:rsidR="000C60E0" w:rsidRPr="00C50F59">
        <w:rPr>
          <w:lang w:val="ro-RO"/>
        </w:rPr>
        <w:t>Investiți</w:t>
      </w:r>
      <w:r w:rsidR="00DF729B" w:rsidRPr="00C50F59">
        <w:rPr>
          <w:lang w:val="ro-RO"/>
        </w:rPr>
        <w:t>i include, prin</w:t>
      </w:r>
      <w:r w:rsidR="00C23256" w:rsidRPr="00C50F59">
        <w:rPr>
          <w:lang w:val="ro-RO"/>
        </w:rPr>
        <w:t>tre</w:t>
      </w:r>
      <w:r w:rsidR="00DF729B" w:rsidRPr="00C50F59">
        <w:rPr>
          <w:lang w:val="ro-RO"/>
        </w:rPr>
        <w:t xml:space="preserve"> altele, și </w:t>
      </w:r>
      <w:r w:rsidR="0033447D" w:rsidRPr="00C50F59">
        <w:rPr>
          <w:iCs/>
          <w:lang w:val="ro-RO"/>
        </w:rPr>
        <w:t>î</w:t>
      </w:r>
      <w:r w:rsidRPr="00C50F59">
        <w:rPr>
          <w:iCs/>
          <w:lang w:val="ro-RO"/>
        </w:rPr>
        <w:t>nființarea de centre de c</w:t>
      </w:r>
      <w:r w:rsidR="00DB4B7F" w:rsidRPr="00C50F59">
        <w:rPr>
          <w:iCs/>
          <w:lang w:val="ro-RO"/>
        </w:rPr>
        <w:t xml:space="preserve">olectare cu aport voluntar </w:t>
      </w:r>
      <w:r w:rsidR="00DF729B" w:rsidRPr="00C50F59">
        <w:rPr>
          <w:iCs/>
          <w:lang w:val="ro-RO"/>
        </w:rPr>
        <w:t>(subinvestiția</w:t>
      </w:r>
      <w:r w:rsidRPr="00C50F59">
        <w:rPr>
          <w:iCs/>
          <w:lang w:val="ro-RO"/>
        </w:rPr>
        <w:t xml:space="preserve"> I1.</w:t>
      </w:r>
      <w:r w:rsidR="00C50F59" w:rsidRPr="00C50F59">
        <w:rPr>
          <w:iCs/>
          <w:lang w:val="ro-RO"/>
        </w:rPr>
        <w:t>A</w:t>
      </w:r>
      <w:r w:rsidRPr="00C50F59">
        <w:rPr>
          <w:iCs/>
          <w:lang w:val="ro-RO"/>
        </w:rPr>
        <w:t>)</w:t>
      </w:r>
      <w:r w:rsidR="00DF729B" w:rsidRPr="00C50F59">
        <w:rPr>
          <w:iCs/>
          <w:lang w:val="ro-RO"/>
        </w:rPr>
        <w:t>.</w:t>
      </w:r>
      <w:r w:rsidR="00097898" w:rsidRPr="00C50F59">
        <w:rPr>
          <w:iCs/>
          <w:lang w:val="ro-RO"/>
        </w:rPr>
        <w:t xml:space="preserve"> </w:t>
      </w:r>
      <w:r w:rsidR="007501B8" w:rsidRPr="00C50F59">
        <w:rPr>
          <w:lang w:val="ro-RO" w:eastAsia="en-US"/>
        </w:rPr>
        <w:t>Pentru implementarea eficientă a activităților aferente investiției și pentru îndeplinirea obiectivelor generale și specifice ale acesteia a fost emis Ordinul ministrului mediului, apelor și pădurilor nr.</w:t>
      </w:r>
      <w:r w:rsidR="00DF729B" w:rsidRPr="00C50F59">
        <w:rPr>
          <w:lang w:val="ro-RO" w:eastAsia="en-US"/>
        </w:rPr>
        <w:t xml:space="preserve"> </w:t>
      </w:r>
      <w:r w:rsidR="00DF729B" w:rsidRPr="00C50F59">
        <w:rPr>
          <w:lang w:val="ro-RO"/>
        </w:rPr>
        <w:t xml:space="preserve">2367/2022 </w:t>
      </w:r>
      <w:r w:rsidR="008D3085" w:rsidRPr="00C50F59">
        <w:rPr>
          <w:lang w:val="ro-RO"/>
        </w:rPr>
        <w:t>pentru aprobarea</w:t>
      </w:r>
      <w:r w:rsidR="00F40C5E" w:rsidRPr="00C50F59">
        <w:rPr>
          <w:lang w:val="ro-RO"/>
        </w:rPr>
        <w:t xml:space="preserve"> </w:t>
      </w:r>
      <w:r w:rsidR="008D3085" w:rsidRPr="00C50F59">
        <w:rPr>
          <w:lang w:val="ro-RO"/>
        </w:rPr>
        <w:t xml:space="preserve">Ghidului specific privind regulile și condițiile aplicabile finanțării din fondurile europene aferente Planului </w:t>
      </w:r>
    </w:p>
    <w:p w14:paraId="49554767" w14:textId="77777777" w:rsidR="00FC3B1A" w:rsidRPr="00C50F59" w:rsidRDefault="008D3085" w:rsidP="002301BC">
      <w:pPr>
        <w:spacing w:after="0" w:line="240" w:lineRule="auto"/>
        <w:ind w:left="0" w:right="-22"/>
        <w:rPr>
          <w:lang w:val="ro-RO"/>
        </w:rPr>
      </w:pPr>
      <w:r w:rsidRPr="00C50F59">
        <w:rPr>
          <w:lang w:val="ro-RO"/>
        </w:rPr>
        <w:t>național de redresare și reziliență în cadrul apelului de proiect</w:t>
      </w:r>
      <w:r w:rsidR="00033EB4" w:rsidRPr="00C50F59">
        <w:rPr>
          <w:lang w:val="ro-RO"/>
        </w:rPr>
        <w:t xml:space="preserve">e </w:t>
      </w:r>
      <w:r w:rsidRPr="00C50F59">
        <w:rPr>
          <w:lang w:val="ro-RO"/>
        </w:rPr>
        <w:t>PNRR/2022/C3/S/I.1.A, pentru subinvestiția I1.a</w:t>
      </w:r>
      <w:r w:rsidR="005E651C" w:rsidRPr="00C50F59">
        <w:rPr>
          <w:lang w:val="ro-RO"/>
        </w:rPr>
        <w:t xml:space="preserve">. </w:t>
      </w:r>
      <w:r w:rsidRPr="00C50F59">
        <w:rPr>
          <w:lang w:val="ro-RO"/>
        </w:rPr>
        <w:t xml:space="preserve">„Înființarea de centre de colectare prin aport voluntar”, </w:t>
      </w:r>
      <w:r w:rsidR="006661B3" w:rsidRPr="00C50F59">
        <w:rPr>
          <w:lang w:val="ro-RO"/>
        </w:rPr>
        <w:br/>
      </w:r>
      <w:r w:rsidRPr="00C50F59">
        <w:rPr>
          <w:lang w:val="ro-RO"/>
        </w:rPr>
        <w:t>investiția I1. „Dezvoltarea, modernizarea și completarea sistemelor de management integrat al deșeurilor</w:t>
      </w:r>
      <w:r w:rsidR="00900A12" w:rsidRPr="00C50F59">
        <w:rPr>
          <w:lang w:val="ro-RO"/>
        </w:rPr>
        <w:t xml:space="preserve"> </w:t>
      </w:r>
      <w:r w:rsidRPr="00C50F59">
        <w:rPr>
          <w:lang w:val="ro-RO"/>
        </w:rPr>
        <w:t xml:space="preserve">municipale la nivel de județ sau la nivel de orașe/comune”, </w:t>
      </w:r>
      <w:r w:rsidR="006661B3" w:rsidRPr="00C50F59">
        <w:rPr>
          <w:lang w:val="ro-RO"/>
        </w:rPr>
        <w:br/>
      </w:r>
      <w:r w:rsidRPr="00C50F59">
        <w:rPr>
          <w:lang w:val="ro-RO"/>
        </w:rPr>
        <w:t>componenta 3. Managementul deșeurilor</w:t>
      </w:r>
      <w:r w:rsidRPr="00C50F59">
        <w:rPr>
          <w:lang w:val="ro-RO" w:eastAsia="en-US"/>
        </w:rPr>
        <w:t>, publicat</w:t>
      </w:r>
      <w:r w:rsidR="007501B8" w:rsidRPr="00C50F59">
        <w:rPr>
          <w:lang w:val="ro-RO" w:eastAsia="en-US"/>
        </w:rPr>
        <w:t xml:space="preserve"> în Monitorul Oficial al României, Partea I, </w:t>
      </w:r>
      <w:r w:rsidR="004B68AA" w:rsidRPr="00C50F59">
        <w:rPr>
          <w:lang w:val="ro-RO"/>
        </w:rPr>
        <w:t>nr. 90</w:t>
      </w:r>
      <w:r w:rsidR="009F454F" w:rsidRPr="00C50F59">
        <w:rPr>
          <w:lang w:val="ro-RO"/>
        </w:rPr>
        <w:t>2</w:t>
      </w:r>
      <w:r w:rsidR="004B68AA" w:rsidRPr="00C50F59">
        <w:rPr>
          <w:lang w:val="ro-RO"/>
        </w:rPr>
        <w:t xml:space="preserve"> </w:t>
      </w:r>
      <w:r w:rsidR="00D53FA0" w:rsidRPr="00C50F59">
        <w:rPr>
          <w:lang w:val="ro-RO"/>
        </w:rPr>
        <w:t xml:space="preserve">și 902 bis </w:t>
      </w:r>
      <w:r w:rsidR="004B68AA" w:rsidRPr="00C50F59">
        <w:rPr>
          <w:lang w:val="ro-RO"/>
        </w:rPr>
        <w:t>din 13 septembrie 2022</w:t>
      </w:r>
      <w:r w:rsidR="009F454F" w:rsidRPr="00C50F59">
        <w:rPr>
          <w:lang w:val="ro-RO"/>
        </w:rPr>
        <w:t>.</w:t>
      </w:r>
    </w:p>
    <w:p w14:paraId="67A10E43" w14:textId="77777777" w:rsidR="002301BC" w:rsidRPr="00C50F59" w:rsidRDefault="002301BC" w:rsidP="002301BC">
      <w:pPr>
        <w:spacing w:after="0" w:line="240" w:lineRule="auto"/>
        <w:ind w:left="0" w:right="-22"/>
        <w:rPr>
          <w:lang w:val="ro-RO"/>
        </w:rPr>
      </w:pPr>
    </w:p>
    <w:p w14:paraId="28AD03FF" w14:textId="77777777" w:rsidR="00F40C5E" w:rsidRDefault="00F40C5E" w:rsidP="004A73E2">
      <w:pPr>
        <w:spacing w:after="0" w:line="240" w:lineRule="auto"/>
        <w:ind w:left="0" w:right="-22" w:firstLine="708"/>
        <w:rPr>
          <w:lang w:val="ro-RO"/>
        </w:rPr>
      </w:pPr>
      <w:r w:rsidRPr="00C50F59">
        <w:rPr>
          <w:lang w:val="ro-RO"/>
        </w:rPr>
        <w:t>Având în vedere următoarele aspecte:</w:t>
      </w:r>
    </w:p>
    <w:p w14:paraId="29C2C692" w14:textId="77777777" w:rsidR="008444CF" w:rsidRPr="00C50F59" w:rsidRDefault="008444CF" w:rsidP="004A73E2">
      <w:pPr>
        <w:spacing w:after="0" w:line="240" w:lineRule="auto"/>
        <w:ind w:left="0" w:right="-22" w:firstLine="708"/>
        <w:rPr>
          <w:lang w:val="ro-RO"/>
        </w:rPr>
      </w:pPr>
    </w:p>
    <w:p w14:paraId="107F1772" w14:textId="7117FA2E" w:rsidR="00F40C5E" w:rsidRPr="00C50F59" w:rsidRDefault="00F40C5E" w:rsidP="00C50F59">
      <w:pPr>
        <w:pStyle w:val="ListParagraph"/>
        <w:numPr>
          <w:ilvl w:val="0"/>
          <w:numId w:val="35"/>
        </w:numPr>
        <w:spacing w:after="0" w:line="240" w:lineRule="auto"/>
        <w:ind w:left="709" w:right="-22"/>
        <w:rPr>
          <w:lang w:val="ro-RO"/>
        </w:rPr>
      </w:pPr>
      <w:r w:rsidRPr="00C50F59">
        <w:rPr>
          <w:lang w:val="ro-RO"/>
        </w:rPr>
        <w:t xml:space="preserve">data de </w:t>
      </w:r>
      <w:r w:rsidR="00E9560C" w:rsidRPr="00C50F59">
        <w:rPr>
          <w:lang w:val="ro-RO"/>
        </w:rPr>
        <w:t xml:space="preserve">lansare a apelului PNRR/2022/C3/S/I1.A </w:t>
      </w:r>
      <w:r w:rsidR="00C50F59" w:rsidRPr="00C50F59">
        <w:rPr>
          <w:lang w:val="ro-RO"/>
        </w:rPr>
        <w:t>–</w:t>
      </w:r>
      <w:r w:rsidR="00E9560C" w:rsidRPr="00C50F59">
        <w:rPr>
          <w:lang w:val="ro-RO"/>
        </w:rPr>
        <w:t xml:space="preserve"> </w:t>
      </w:r>
      <w:r w:rsidR="00C50F59" w:rsidRPr="00C50F59">
        <w:rPr>
          <w:lang w:val="ro-RO"/>
        </w:rPr>
        <w:t>22.09.</w:t>
      </w:r>
      <w:r w:rsidR="00E9560C" w:rsidRPr="00C50F59">
        <w:rPr>
          <w:lang w:val="ro-RO"/>
        </w:rPr>
        <w:t xml:space="preserve">2022 și data de </w:t>
      </w:r>
      <w:r w:rsidRPr="00C50F59">
        <w:rPr>
          <w:lang w:val="ro-RO"/>
        </w:rPr>
        <w:t>finalizare a procesului de contractare aferent rundei 1 a Apelului PNRR/2022/C3/S/I1.A, respectiv încheierea celor mai recente contracte în luna iulie 2023,</w:t>
      </w:r>
    </w:p>
    <w:p w14:paraId="76B320AA" w14:textId="77777777" w:rsidR="00F40C5E" w:rsidRPr="00C50F59" w:rsidRDefault="00F40C5E" w:rsidP="00C50F59">
      <w:pPr>
        <w:pStyle w:val="ListParagraph"/>
        <w:numPr>
          <w:ilvl w:val="0"/>
          <w:numId w:val="35"/>
        </w:numPr>
        <w:spacing w:after="0" w:line="240" w:lineRule="auto"/>
        <w:ind w:left="709" w:right="-22"/>
        <w:rPr>
          <w:lang w:val="ro-RO"/>
        </w:rPr>
      </w:pPr>
      <w:r w:rsidRPr="00C50F59">
        <w:rPr>
          <w:lang w:val="ro-RO"/>
        </w:rPr>
        <w:t>termenele prevăzute în Ghidul specific pentru depunerea documentațiilor tehnico-economice, a Proiectelor tehnice și a Autorizației de construire de 6 luni de la semnarea contractelor de finanțare (raportat inclusiv la cele încheiate în luna iulie 2023),</w:t>
      </w:r>
    </w:p>
    <w:p w14:paraId="50F9190F" w14:textId="77777777" w:rsidR="00F40C5E" w:rsidRPr="00C50F59" w:rsidRDefault="00F40C5E" w:rsidP="00C50F59">
      <w:pPr>
        <w:pStyle w:val="ListParagraph"/>
        <w:numPr>
          <w:ilvl w:val="0"/>
          <w:numId w:val="35"/>
        </w:numPr>
        <w:spacing w:after="0" w:line="240" w:lineRule="auto"/>
        <w:ind w:left="709" w:right="-22"/>
        <w:rPr>
          <w:lang w:val="ro-RO"/>
        </w:rPr>
      </w:pPr>
      <w:r w:rsidRPr="00C50F59">
        <w:rPr>
          <w:lang w:val="ro-RO"/>
        </w:rPr>
        <w:t>termenul de finalizare a procedurilor de achiziție, prevăzut în ghidul specific, respectiv 31 decembrie 2023,</w:t>
      </w:r>
    </w:p>
    <w:p w14:paraId="7F4345AA" w14:textId="77777777" w:rsidR="00F40C5E" w:rsidRPr="00C50F59" w:rsidRDefault="00F40C5E" w:rsidP="00C50F59">
      <w:pPr>
        <w:pStyle w:val="ListParagraph"/>
        <w:numPr>
          <w:ilvl w:val="0"/>
          <w:numId w:val="35"/>
        </w:numPr>
        <w:spacing w:after="0" w:line="240" w:lineRule="auto"/>
        <w:ind w:left="709" w:right="-22"/>
        <w:rPr>
          <w:lang w:val="ro-RO"/>
        </w:rPr>
      </w:pPr>
      <w:r w:rsidRPr="00C50F59">
        <w:rPr>
          <w:lang w:val="ro-RO"/>
        </w:rPr>
        <w:t>faptul că până la data prezentei MMAP, în calitate de Lider al asocierii de autorități contractante nu a demarat procedura de achiziție centralizată pentru achiziția echipamentelor (containere) prevăzute în proiectul-tip aferent,</w:t>
      </w:r>
    </w:p>
    <w:p w14:paraId="52D47634" w14:textId="3044192F" w:rsidR="00F40C5E" w:rsidRPr="00C50F59" w:rsidRDefault="00F40C5E" w:rsidP="00C50F59">
      <w:pPr>
        <w:pStyle w:val="ListParagraph"/>
        <w:numPr>
          <w:ilvl w:val="0"/>
          <w:numId w:val="35"/>
        </w:numPr>
        <w:spacing w:after="0" w:line="240" w:lineRule="auto"/>
        <w:ind w:left="709" w:right="-22"/>
        <w:rPr>
          <w:lang w:val="ro-RO"/>
        </w:rPr>
      </w:pPr>
      <w:r w:rsidRPr="00C50F59">
        <w:rPr>
          <w:lang w:val="ro-RO"/>
        </w:rPr>
        <w:t>modificarea legislației</w:t>
      </w:r>
      <w:r w:rsidR="00C50F59" w:rsidRPr="00C50F59">
        <w:rPr>
          <w:lang w:val="ro-RO"/>
        </w:rPr>
        <w:t>, anume a Ordinului Ministrului Sănătății nr. 119/2014, în sensul eliminării distanțelor minime de amplasare a centrelor de colectare prin aport voluntar, raportat la ultima locuință și înlocuirea acestora cu Studii de impact asupra sănătății populației,</w:t>
      </w:r>
      <w:r w:rsidRPr="00C50F59">
        <w:rPr>
          <w:lang w:val="ro-RO"/>
        </w:rPr>
        <w:t xml:space="preserve"> a condus la mărirea termenelor necesare finalizării procedurilor de obținere a autorizațiilor/ avizelor specifice, situații justificate de beneficiari inclusiv cu numărul restrâns de prestatori pentru realizarea studiilor specifice,</w:t>
      </w:r>
    </w:p>
    <w:p w14:paraId="3BC79503" w14:textId="77777777" w:rsidR="00F40C5E" w:rsidRPr="00C50F59" w:rsidRDefault="00F40C5E" w:rsidP="00C50F59">
      <w:pPr>
        <w:spacing w:after="0" w:line="240" w:lineRule="auto"/>
        <w:ind w:right="-22"/>
        <w:rPr>
          <w:lang w:val="ro-RO"/>
        </w:rPr>
      </w:pPr>
    </w:p>
    <w:p w14:paraId="72AC720C" w14:textId="429FE145" w:rsidR="00F40C5E" w:rsidRPr="00C50F59" w:rsidRDefault="00E9560C" w:rsidP="00C50F59">
      <w:pPr>
        <w:spacing w:after="0" w:line="240" w:lineRule="auto"/>
        <w:ind w:left="709" w:right="-22"/>
        <w:rPr>
          <w:lang w:val="ro-RO"/>
        </w:rPr>
      </w:pPr>
      <w:r w:rsidRPr="00C50F59">
        <w:rPr>
          <w:lang w:val="ro-RO"/>
        </w:rPr>
        <w:t>s-a constatat</w:t>
      </w:r>
      <w:r w:rsidR="00F40C5E" w:rsidRPr="00C50F59">
        <w:rPr>
          <w:lang w:val="ro-RO"/>
        </w:rPr>
        <w:t xml:space="preserve"> imposibilitatea beneficiarilor de a se încadra în termenele prevăzute în ghidul specific pentru </w:t>
      </w:r>
      <w:r w:rsidRPr="00C50F59">
        <w:rPr>
          <w:lang w:val="ro-RO"/>
        </w:rPr>
        <w:t>finalizare</w:t>
      </w:r>
      <w:r w:rsidR="00C50F59" w:rsidRPr="00C50F59">
        <w:rPr>
          <w:lang w:val="ro-RO"/>
        </w:rPr>
        <w:t>a și depunerea</w:t>
      </w:r>
      <w:r w:rsidRPr="00C50F59">
        <w:rPr>
          <w:lang w:val="ro-RO"/>
        </w:rPr>
        <w:t xml:space="preserve"> documentațiilor </w:t>
      </w:r>
      <w:r w:rsidR="00F40C5E" w:rsidRPr="00C50F59">
        <w:rPr>
          <w:lang w:val="ro-RO"/>
        </w:rPr>
        <w:t>tehnico-economice, proiecte-tehnice și obținerea avizelor specifice necesare demarării procedurilor pentru execuția lucrărilor</w:t>
      </w:r>
      <w:r w:rsidR="00B1253D" w:rsidRPr="00C50F59">
        <w:rPr>
          <w:lang w:val="ro-RO"/>
        </w:rPr>
        <w:t>, din motive obiective și care nu țin de voința beneficiarilor</w:t>
      </w:r>
      <w:r w:rsidR="00F40C5E" w:rsidRPr="00C50F59">
        <w:rPr>
          <w:lang w:val="ro-RO"/>
        </w:rPr>
        <w:t>.</w:t>
      </w:r>
    </w:p>
    <w:p w14:paraId="5CA02E05" w14:textId="77777777" w:rsidR="00F40C5E" w:rsidRPr="00C50F59" w:rsidRDefault="00F40C5E" w:rsidP="00C50F59">
      <w:pPr>
        <w:spacing w:after="0" w:line="240" w:lineRule="auto"/>
        <w:ind w:left="709" w:right="-22"/>
        <w:rPr>
          <w:lang w:val="ro-RO"/>
        </w:rPr>
      </w:pPr>
    </w:p>
    <w:p w14:paraId="081252CE" w14:textId="77777777" w:rsidR="003B396E" w:rsidRPr="00C50F59" w:rsidRDefault="008D3085" w:rsidP="004A73E2">
      <w:pPr>
        <w:spacing w:after="0" w:line="240" w:lineRule="auto"/>
        <w:ind w:left="0" w:right="-22" w:firstLine="708"/>
        <w:rPr>
          <w:rFonts w:eastAsia="Calibri"/>
          <w:kern w:val="0"/>
          <w:lang w:val="ro-RO" w:eastAsia="en-US"/>
        </w:rPr>
      </w:pPr>
      <w:r w:rsidRPr="00C50F59">
        <w:rPr>
          <w:lang w:val="ro-RO"/>
        </w:rPr>
        <w:t xml:space="preserve">Având în vedere </w:t>
      </w:r>
      <w:r w:rsidR="00F40C5E" w:rsidRPr="00C50F59">
        <w:rPr>
          <w:lang w:val="ro-RO"/>
        </w:rPr>
        <w:t xml:space="preserve">situația descrisă, precum și </w:t>
      </w:r>
      <w:r w:rsidRPr="00C50F59">
        <w:rPr>
          <w:lang w:val="ro-RO"/>
        </w:rPr>
        <w:t>numeroasele solicitări de prelungire a termenului de depunere a documentației tehnico – economice</w:t>
      </w:r>
      <w:r w:rsidRPr="00C50F59">
        <w:rPr>
          <w:rFonts w:eastAsia="Calibri"/>
          <w:kern w:val="0"/>
          <w:lang w:val="ro-RO" w:eastAsia="en-US"/>
        </w:rPr>
        <w:t xml:space="preserve">, </w:t>
      </w:r>
      <w:r w:rsidR="00F10371" w:rsidRPr="00C50F59">
        <w:rPr>
          <w:rFonts w:eastAsia="Calibri"/>
          <w:kern w:val="0"/>
          <w:lang w:val="ro-RO" w:eastAsia="en-US"/>
        </w:rPr>
        <w:t>se impun modific</w:t>
      </w:r>
      <w:r w:rsidR="00E7031A" w:rsidRPr="00C50F59">
        <w:rPr>
          <w:rFonts w:eastAsia="Calibri"/>
          <w:kern w:val="0"/>
          <w:lang w:val="ro-RO" w:eastAsia="en-US"/>
        </w:rPr>
        <w:t>ări</w:t>
      </w:r>
      <w:r w:rsidR="00F10371" w:rsidRPr="00C50F59">
        <w:rPr>
          <w:rFonts w:eastAsia="Calibri"/>
          <w:kern w:val="0"/>
          <w:lang w:val="ro-RO" w:eastAsia="en-US"/>
        </w:rPr>
        <w:t xml:space="preserve"> </w:t>
      </w:r>
      <w:r w:rsidR="00E7031A" w:rsidRPr="00C50F59">
        <w:rPr>
          <w:rFonts w:eastAsia="Calibri"/>
          <w:kern w:val="0"/>
          <w:lang w:val="ro-RO" w:eastAsia="en-US"/>
        </w:rPr>
        <w:t>a</w:t>
      </w:r>
      <w:r w:rsidR="00F268BA" w:rsidRPr="00C50F59">
        <w:rPr>
          <w:rFonts w:eastAsia="Calibri"/>
          <w:kern w:val="0"/>
          <w:lang w:val="ro-RO" w:eastAsia="en-US"/>
        </w:rPr>
        <w:t>le</w:t>
      </w:r>
      <w:r w:rsidR="00E7031A" w:rsidRPr="00C50F59">
        <w:rPr>
          <w:rFonts w:eastAsia="Calibri"/>
          <w:kern w:val="0"/>
          <w:lang w:val="ro-RO" w:eastAsia="en-US"/>
        </w:rPr>
        <w:t xml:space="preserve"> </w:t>
      </w:r>
      <w:r w:rsidR="00F10371" w:rsidRPr="00C50F59">
        <w:rPr>
          <w:rFonts w:eastAsia="Calibri"/>
          <w:kern w:val="0"/>
          <w:lang w:val="ro-RO" w:eastAsia="en-US"/>
        </w:rPr>
        <w:t>Ghidului specific</w:t>
      </w:r>
      <w:r w:rsidR="00E7031A" w:rsidRPr="00C50F59">
        <w:rPr>
          <w:rFonts w:eastAsia="Calibri"/>
          <w:kern w:val="0"/>
          <w:lang w:val="ro-RO" w:eastAsia="en-US"/>
        </w:rPr>
        <w:t xml:space="preserve"> cu privire la</w:t>
      </w:r>
      <w:r w:rsidR="003B396E" w:rsidRPr="00C50F59">
        <w:rPr>
          <w:rFonts w:eastAsia="Calibri"/>
          <w:kern w:val="0"/>
          <w:lang w:val="ro-RO" w:eastAsia="en-US"/>
        </w:rPr>
        <w:t>:</w:t>
      </w:r>
    </w:p>
    <w:p w14:paraId="41FF6C46" w14:textId="77777777" w:rsidR="00C07768" w:rsidRPr="00C50F59" w:rsidRDefault="00C07768" w:rsidP="004A73E2">
      <w:pPr>
        <w:spacing w:after="0" w:line="240" w:lineRule="auto"/>
        <w:ind w:left="0" w:right="-22" w:firstLine="708"/>
        <w:rPr>
          <w:rFonts w:eastAsia="Calibri"/>
          <w:kern w:val="0"/>
          <w:lang w:val="ro-RO" w:eastAsia="en-US"/>
        </w:rPr>
      </w:pPr>
    </w:p>
    <w:p w14:paraId="7EE97F2F" w14:textId="791562B1" w:rsidR="00F268BA" w:rsidRPr="00C50F59" w:rsidRDefault="00C50F59" w:rsidP="004A73E2">
      <w:pPr>
        <w:numPr>
          <w:ilvl w:val="0"/>
          <w:numId w:val="34"/>
        </w:numPr>
        <w:spacing w:after="0" w:line="240" w:lineRule="auto"/>
        <w:ind w:right="-22"/>
        <w:rPr>
          <w:rFonts w:eastAsia="Calibri"/>
          <w:kern w:val="0"/>
          <w:lang w:val="ro-RO" w:eastAsia="en-US"/>
        </w:rPr>
      </w:pPr>
      <w:r w:rsidRPr="00C50F59">
        <w:rPr>
          <w:rFonts w:eastAsia="Calibri"/>
          <w:kern w:val="0"/>
          <w:lang w:val="ro-RO" w:eastAsia="en-US"/>
        </w:rPr>
        <w:t>e</w:t>
      </w:r>
      <w:r w:rsidR="00C07768" w:rsidRPr="00C50F59">
        <w:rPr>
          <w:rFonts w:eastAsia="Calibri"/>
          <w:kern w:val="0"/>
          <w:lang w:val="ro-RO" w:eastAsia="en-US"/>
        </w:rPr>
        <w:t xml:space="preserve">liminarea termenului de 6 luni de la data contractării în ceea ce privește </w:t>
      </w:r>
      <w:r w:rsidR="00E7031A" w:rsidRPr="00C50F59">
        <w:rPr>
          <w:rFonts w:eastAsia="Calibri"/>
          <w:kern w:val="0"/>
          <w:lang w:val="ro-RO" w:eastAsia="en-US"/>
        </w:rPr>
        <w:t>depunere</w:t>
      </w:r>
      <w:r w:rsidR="003B396E" w:rsidRPr="00C50F59">
        <w:rPr>
          <w:rFonts w:eastAsia="Calibri"/>
          <w:kern w:val="0"/>
          <w:lang w:val="ro-RO" w:eastAsia="en-US"/>
        </w:rPr>
        <w:t xml:space="preserve"> </w:t>
      </w:r>
      <w:r w:rsidR="00E7031A" w:rsidRPr="00C50F59">
        <w:rPr>
          <w:rFonts w:eastAsia="Calibri"/>
          <w:kern w:val="0"/>
          <w:lang w:val="ro-RO" w:eastAsia="en-US"/>
        </w:rPr>
        <w:t>a studiului de fezabilitate</w:t>
      </w:r>
      <w:r w:rsidR="00C07768" w:rsidRPr="00C50F59">
        <w:rPr>
          <w:rFonts w:eastAsia="Calibri"/>
          <w:kern w:val="0"/>
          <w:lang w:val="ro-RO" w:eastAsia="en-US"/>
        </w:rPr>
        <w:t xml:space="preserve">, a </w:t>
      </w:r>
      <w:r w:rsidRPr="00C50F59">
        <w:rPr>
          <w:rFonts w:eastAsia="Calibri"/>
          <w:kern w:val="0"/>
          <w:lang w:val="ro-RO" w:eastAsia="en-US"/>
        </w:rPr>
        <w:t>proiectului</w:t>
      </w:r>
      <w:r w:rsidR="00C07768" w:rsidRPr="00C50F59">
        <w:rPr>
          <w:rFonts w:eastAsia="Calibri"/>
          <w:kern w:val="0"/>
          <w:lang w:val="ro-RO" w:eastAsia="en-US"/>
        </w:rPr>
        <w:t xml:space="preserve"> tehnic și a devizului general;</w:t>
      </w:r>
    </w:p>
    <w:p w14:paraId="5EC13265" w14:textId="38B660AB" w:rsidR="00C07768" w:rsidRPr="00C50F59" w:rsidRDefault="00C50F59" w:rsidP="004A73E2">
      <w:pPr>
        <w:numPr>
          <w:ilvl w:val="0"/>
          <w:numId w:val="34"/>
        </w:numPr>
        <w:spacing w:after="0" w:line="240" w:lineRule="auto"/>
        <w:ind w:right="-22"/>
        <w:rPr>
          <w:rFonts w:eastAsia="Calibri"/>
          <w:kern w:val="0"/>
          <w:lang w:val="ro-RO" w:eastAsia="en-US"/>
        </w:rPr>
      </w:pPr>
      <w:r w:rsidRPr="00C50F59">
        <w:rPr>
          <w:rFonts w:eastAsia="Calibri"/>
          <w:kern w:val="0"/>
          <w:lang w:val="ro-RO" w:eastAsia="en-US"/>
        </w:rPr>
        <w:lastRenderedPageBreak/>
        <w:t>i</w:t>
      </w:r>
      <w:r w:rsidR="00C07768" w:rsidRPr="00C50F59">
        <w:rPr>
          <w:rFonts w:eastAsia="Calibri"/>
          <w:kern w:val="0"/>
          <w:lang w:val="ro-RO" w:eastAsia="en-US"/>
        </w:rPr>
        <w:t xml:space="preserve">ntroducerea obligativității de depunere a documentației tehnico-economică și a devizului general până la data de 30 aprilie 2024 cu </w:t>
      </w:r>
      <w:r w:rsidR="00EB0E79" w:rsidRPr="00C50F59">
        <w:rPr>
          <w:rFonts w:eastAsia="Calibri"/>
          <w:kern w:val="0"/>
          <w:lang w:val="ro-RO" w:eastAsia="en-US"/>
        </w:rPr>
        <w:t>posibilitatea de reziliere a contractului de finanțare în caz contrar;</w:t>
      </w:r>
    </w:p>
    <w:p w14:paraId="34B74481" w14:textId="7157FEB9" w:rsidR="00EB0E79" w:rsidRPr="00C50F59" w:rsidRDefault="00C50F59" w:rsidP="004A73E2">
      <w:pPr>
        <w:numPr>
          <w:ilvl w:val="0"/>
          <w:numId w:val="34"/>
        </w:numPr>
        <w:spacing w:after="0" w:line="240" w:lineRule="auto"/>
        <w:ind w:right="-22"/>
        <w:rPr>
          <w:rFonts w:eastAsia="Calibri"/>
          <w:kern w:val="0"/>
          <w:lang w:val="ro-RO" w:eastAsia="en-US"/>
        </w:rPr>
      </w:pPr>
      <w:r w:rsidRPr="00C50F59">
        <w:rPr>
          <w:rFonts w:eastAsia="Calibri"/>
          <w:kern w:val="0"/>
          <w:lang w:val="ro-RO" w:eastAsia="en-US"/>
        </w:rPr>
        <w:t>o</w:t>
      </w:r>
      <w:r w:rsidR="00EB0E79" w:rsidRPr="00C50F59">
        <w:rPr>
          <w:rFonts w:eastAsia="Calibri"/>
          <w:kern w:val="0"/>
          <w:lang w:val="ro-RO" w:eastAsia="en-US"/>
        </w:rPr>
        <w:t xml:space="preserve">bligativitatea beneficiarului de a prezenta la ultima cerere de transfer dovada de actualizare a Planurilor Județene de Gestionare a Deșeurilor/Planul Municipal de Gestionare a Deșeurilor pentru București precum și încadrarea în prevederile punctului 3.1.5. din ghidul specific, referitor la comunitățile </w:t>
      </w:r>
      <w:r w:rsidR="001235AB" w:rsidRPr="00C50F59">
        <w:rPr>
          <w:rFonts w:eastAsia="Calibri"/>
          <w:kern w:val="0"/>
          <w:lang w:val="ro-RO" w:eastAsia="en-US"/>
        </w:rPr>
        <w:t>cu până la 50.000 de locuitori deservite de centrul de colectare prin aport voluntar;</w:t>
      </w:r>
    </w:p>
    <w:p w14:paraId="75CBCD58" w14:textId="643F569E" w:rsidR="001235AB" w:rsidRPr="00C50F59" w:rsidRDefault="00C50F59" w:rsidP="004A73E2">
      <w:pPr>
        <w:numPr>
          <w:ilvl w:val="0"/>
          <w:numId w:val="34"/>
        </w:numPr>
        <w:spacing w:after="0" w:line="240" w:lineRule="auto"/>
        <w:ind w:right="-22"/>
        <w:rPr>
          <w:rFonts w:eastAsia="Calibri"/>
          <w:kern w:val="0"/>
          <w:lang w:val="ro-RO" w:eastAsia="en-US"/>
        </w:rPr>
      </w:pPr>
      <w:r w:rsidRPr="00C50F59">
        <w:rPr>
          <w:rFonts w:eastAsia="Calibri"/>
          <w:kern w:val="0"/>
          <w:lang w:val="ro-RO" w:eastAsia="en-US"/>
        </w:rPr>
        <w:t>o</w:t>
      </w:r>
      <w:r w:rsidR="001235AB" w:rsidRPr="00C50F59">
        <w:rPr>
          <w:rFonts w:eastAsia="Calibri"/>
          <w:kern w:val="0"/>
          <w:lang w:val="ro-RO" w:eastAsia="en-US"/>
        </w:rPr>
        <w:t xml:space="preserve">bligativitatea beneficiarului de a transmite până la data de 30 aprilie 2024 a Autorizației de Construire împreună cu toate avizele obținute pe baza Certificatului de urbanism și Proiectul tehnic verificat în conformitate </w:t>
      </w:r>
      <w:r w:rsidR="003A2908" w:rsidRPr="00C50F59">
        <w:rPr>
          <w:rFonts w:eastAsia="Calibri"/>
          <w:kern w:val="0"/>
          <w:lang w:val="ro-RO" w:eastAsia="en-US"/>
        </w:rPr>
        <w:t xml:space="preserve">cu prevederile Legii nr. 10/1995 privind calitatea în construcții, republicată, cu </w:t>
      </w:r>
      <w:r w:rsidRPr="00C50F59">
        <w:rPr>
          <w:rFonts w:eastAsia="Calibri"/>
          <w:kern w:val="0"/>
          <w:lang w:val="ro-RO" w:eastAsia="en-US"/>
        </w:rPr>
        <w:t>modificările</w:t>
      </w:r>
      <w:r w:rsidR="003A2908" w:rsidRPr="00C50F59">
        <w:rPr>
          <w:rFonts w:eastAsia="Calibri"/>
          <w:kern w:val="0"/>
          <w:lang w:val="ro-RO" w:eastAsia="en-US"/>
        </w:rPr>
        <w:t xml:space="preserve"> și completările ulterioare, împreună cu devizul general actualizat, precum și procesul-verbal de recepție a proiectului tehnic</w:t>
      </w:r>
    </w:p>
    <w:p w14:paraId="2691A9EC" w14:textId="08CDE21B" w:rsidR="003A2908" w:rsidRPr="00C50F59" w:rsidRDefault="00C50F59" w:rsidP="004A73E2">
      <w:pPr>
        <w:numPr>
          <w:ilvl w:val="0"/>
          <w:numId w:val="34"/>
        </w:numPr>
        <w:spacing w:after="0" w:line="240" w:lineRule="auto"/>
        <w:ind w:right="-22"/>
        <w:rPr>
          <w:rFonts w:eastAsia="Calibri"/>
          <w:kern w:val="0"/>
          <w:lang w:val="ro-RO" w:eastAsia="en-US"/>
        </w:rPr>
      </w:pPr>
      <w:r w:rsidRPr="00C50F59">
        <w:rPr>
          <w:rFonts w:eastAsia="Calibri"/>
          <w:kern w:val="0"/>
          <w:lang w:val="ro-RO" w:eastAsia="en-US"/>
        </w:rPr>
        <w:t>o</w:t>
      </w:r>
      <w:r w:rsidR="003A2908" w:rsidRPr="00C50F59">
        <w:rPr>
          <w:rFonts w:eastAsia="Calibri"/>
          <w:kern w:val="0"/>
          <w:lang w:val="ro-RO" w:eastAsia="en-US"/>
        </w:rPr>
        <w:t xml:space="preserve">bligativitatea beneficiarului de a finaliza toate procedurile de achiziții pentru execuția lucrărilor și achiziția echipamentelor </w:t>
      </w:r>
      <w:r w:rsidRPr="00C50F59">
        <w:rPr>
          <w:rFonts w:eastAsia="Calibri"/>
          <w:kern w:val="0"/>
          <w:lang w:val="ro-RO" w:eastAsia="en-US"/>
        </w:rPr>
        <w:t>până</w:t>
      </w:r>
      <w:r w:rsidR="003A2908" w:rsidRPr="00C50F59">
        <w:rPr>
          <w:rFonts w:eastAsia="Calibri"/>
          <w:kern w:val="0"/>
          <w:lang w:val="ro-RO" w:eastAsia="en-US"/>
        </w:rPr>
        <w:t xml:space="preserve"> la 30 iunie 2024, în caz contrar MMAP poate proceda la rezilierea contractului de finanțare și la recuperarea sumelor plătite acestuia.</w:t>
      </w:r>
    </w:p>
    <w:p w14:paraId="3D308D70" w14:textId="77777777" w:rsidR="001235AB" w:rsidRPr="00C50F59" w:rsidRDefault="001235AB" w:rsidP="004A73E2">
      <w:pPr>
        <w:spacing w:after="0" w:line="240" w:lineRule="auto"/>
        <w:ind w:right="-22"/>
        <w:rPr>
          <w:rFonts w:eastAsia="Calibri"/>
          <w:kern w:val="0"/>
          <w:lang w:val="ro-RO" w:eastAsia="en-US"/>
        </w:rPr>
      </w:pPr>
    </w:p>
    <w:p w14:paraId="0AAEDF34" w14:textId="76D0771E" w:rsidR="001235AB" w:rsidRPr="00C50F59" w:rsidRDefault="00636C2C" w:rsidP="002301BC">
      <w:pPr>
        <w:spacing w:after="0" w:line="240" w:lineRule="auto"/>
        <w:ind w:left="0" w:right="-22" w:firstLine="360"/>
        <w:rPr>
          <w:rFonts w:eastAsia="Calibri"/>
          <w:kern w:val="0"/>
          <w:lang w:val="ro-RO" w:eastAsia="en-US"/>
        </w:rPr>
      </w:pPr>
      <w:r w:rsidRPr="00C50F59">
        <w:rPr>
          <w:rFonts w:eastAsia="Calibri"/>
          <w:kern w:val="0"/>
          <w:lang w:val="ro-RO" w:eastAsia="en-US"/>
        </w:rPr>
        <w:t xml:space="preserve">De asemenea, având în vedere prevederile Regulamentului (UE) 2021/241 a </w:t>
      </w:r>
      <w:r w:rsidR="00C50F59" w:rsidRPr="00C50F59">
        <w:rPr>
          <w:rFonts w:eastAsia="Calibri"/>
          <w:kern w:val="0"/>
          <w:lang w:val="ro-RO" w:eastAsia="en-US"/>
        </w:rPr>
        <w:t>Parlamentului</w:t>
      </w:r>
      <w:r w:rsidRPr="00C50F59">
        <w:rPr>
          <w:rFonts w:eastAsia="Calibri"/>
          <w:kern w:val="0"/>
          <w:lang w:val="ro-RO" w:eastAsia="en-US"/>
        </w:rPr>
        <w:t xml:space="preserve"> European și al Consiliului cu privire la obligațiile impuse de art. 22 privind </w:t>
      </w:r>
      <w:r w:rsidR="004A73E2" w:rsidRPr="00C50F59">
        <w:rPr>
          <w:rFonts w:eastAsia="Calibri"/>
          <w:kern w:val="0"/>
          <w:lang w:val="ro-RO" w:eastAsia="en-US"/>
        </w:rPr>
        <w:t>protejarea intereselor financiare ale Uniunii se impun obligațiile cu privire la Beneficiarul real.</w:t>
      </w:r>
    </w:p>
    <w:p w14:paraId="71B57560" w14:textId="77777777" w:rsidR="002301BC" w:rsidRPr="00C50F59" w:rsidRDefault="002301BC" w:rsidP="002301BC">
      <w:pPr>
        <w:spacing w:after="0" w:line="240" w:lineRule="auto"/>
        <w:ind w:left="0" w:right="-22" w:firstLine="360"/>
        <w:rPr>
          <w:rFonts w:eastAsia="Calibri"/>
          <w:kern w:val="0"/>
          <w:lang w:val="ro-RO" w:eastAsia="en-US"/>
        </w:rPr>
      </w:pPr>
    </w:p>
    <w:p w14:paraId="5964D983" w14:textId="77777777" w:rsidR="00C1053C" w:rsidRPr="00C50F59" w:rsidRDefault="00C1053C" w:rsidP="002301BC">
      <w:pPr>
        <w:spacing w:after="0" w:line="240" w:lineRule="auto"/>
        <w:ind w:left="0" w:right="-22" w:firstLine="360"/>
        <w:rPr>
          <w:lang w:val="ro-RO"/>
        </w:rPr>
      </w:pPr>
      <w:r w:rsidRPr="00C50F59">
        <w:rPr>
          <w:lang w:val="ro-RO"/>
        </w:rPr>
        <w:t>Având în vedere cele de mai sus, vă transmitem alăturat, în vederea avizării și</w:t>
      </w:r>
      <w:r w:rsidR="001B30F8" w:rsidRPr="00C50F59">
        <w:rPr>
          <w:lang w:val="ro-RO"/>
        </w:rPr>
        <w:t xml:space="preserve"> </w:t>
      </w:r>
      <w:r w:rsidRPr="00C50F59">
        <w:rPr>
          <w:lang w:val="ro-RO"/>
        </w:rPr>
        <w:t xml:space="preserve">aprobării, proiectul de ordin </w:t>
      </w:r>
      <w:r w:rsidR="00752C5C" w:rsidRPr="00C50F59">
        <w:rPr>
          <w:lang w:val="ro-RO"/>
        </w:rPr>
        <w:t>privind modificarea anexei la Ordinul ministrului mediului,</w:t>
      </w:r>
      <w:r w:rsidR="001B30F8" w:rsidRPr="00C50F59">
        <w:rPr>
          <w:lang w:val="ro-RO"/>
        </w:rPr>
        <w:t xml:space="preserve"> </w:t>
      </w:r>
      <w:r w:rsidR="00752C5C" w:rsidRPr="00C50F59">
        <w:rPr>
          <w:lang w:val="ro-RO"/>
        </w:rPr>
        <w:t>apelor și pădurilor nr. 236</w:t>
      </w:r>
      <w:r w:rsidR="008D3085" w:rsidRPr="00C50F59">
        <w:rPr>
          <w:lang w:val="ro-RO"/>
        </w:rPr>
        <w:t>7</w:t>
      </w:r>
      <w:r w:rsidR="00752C5C" w:rsidRPr="00C50F59">
        <w:rPr>
          <w:lang w:val="ro-RO"/>
        </w:rPr>
        <w:t xml:space="preserve">/2022 pentru </w:t>
      </w:r>
      <w:r w:rsidR="004071D5" w:rsidRPr="00C50F59">
        <w:rPr>
          <w:lang w:val="ro-RO"/>
        </w:rPr>
        <w:t>aprobarea Ghidului specific privind regulile și</w:t>
      </w:r>
      <w:r w:rsidR="001B30F8" w:rsidRPr="00C50F59">
        <w:rPr>
          <w:lang w:val="ro-RO"/>
        </w:rPr>
        <w:t xml:space="preserve"> </w:t>
      </w:r>
      <w:r w:rsidR="004071D5" w:rsidRPr="00C50F59">
        <w:rPr>
          <w:lang w:val="ro-RO"/>
        </w:rPr>
        <w:t>condițiile aplicabile finanțării din fondurile europene aferente Planului național de</w:t>
      </w:r>
      <w:r w:rsidR="001B30F8" w:rsidRPr="00C50F59">
        <w:rPr>
          <w:lang w:val="ro-RO"/>
        </w:rPr>
        <w:t xml:space="preserve"> </w:t>
      </w:r>
      <w:r w:rsidR="004071D5" w:rsidRPr="00C50F59">
        <w:rPr>
          <w:lang w:val="ro-RO"/>
        </w:rPr>
        <w:t>redresare și reziliență în cadrul apelului de proiecte PNRR/2022/C3/S/I.1.A, pentru</w:t>
      </w:r>
      <w:r w:rsidR="001B30F8" w:rsidRPr="00C50F59">
        <w:rPr>
          <w:lang w:val="ro-RO"/>
        </w:rPr>
        <w:t xml:space="preserve"> </w:t>
      </w:r>
      <w:r w:rsidR="004071D5" w:rsidRPr="00C50F59">
        <w:rPr>
          <w:lang w:val="ro-RO"/>
        </w:rPr>
        <w:t>subinvestiția I1.a „Înființarea de centre de colectare prin aport voluntar”, investiția</w:t>
      </w:r>
      <w:r w:rsidR="001B30F8" w:rsidRPr="00C50F59">
        <w:rPr>
          <w:lang w:val="ro-RO"/>
        </w:rPr>
        <w:t xml:space="preserve"> </w:t>
      </w:r>
      <w:r w:rsidR="004071D5" w:rsidRPr="00C50F59">
        <w:rPr>
          <w:lang w:val="ro-RO"/>
        </w:rPr>
        <w:t>I1. „Dezvoltarea, modernizarea și completarea sistemelor de management integrat</w:t>
      </w:r>
      <w:r w:rsidR="001B30F8" w:rsidRPr="00C50F59">
        <w:rPr>
          <w:lang w:val="ro-RO"/>
        </w:rPr>
        <w:t xml:space="preserve"> </w:t>
      </w:r>
      <w:r w:rsidR="004071D5" w:rsidRPr="00C50F59">
        <w:rPr>
          <w:lang w:val="ro-RO"/>
        </w:rPr>
        <w:t>al deșeurilor municipale la nivel de județ sau la nivel de orașe/comune”,</w:t>
      </w:r>
      <w:r w:rsidR="00033EB4" w:rsidRPr="00C50F59">
        <w:rPr>
          <w:lang w:val="ro-RO"/>
        </w:rPr>
        <w:t xml:space="preserve"> </w:t>
      </w:r>
      <w:r w:rsidR="004071D5" w:rsidRPr="00C50F59">
        <w:rPr>
          <w:lang w:val="ro-RO"/>
        </w:rPr>
        <w:t>componenta</w:t>
      </w:r>
      <w:r w:rsidR="00033EB4" w:rsidRPr="00C50F59">
        <w:rPr>
          <w:lang w:val="ro-RO"/>
        </w:rPr>
        <w:t xml:space="preserve"> </w:t>
      </w:r>
      <w:r w:rsidR="004071D5" w:rsidRPr="00C50F59">
        <w:rPr>
          <w:lang w:val="ro-RO"/>
        </w:rPr>
        <w:t>3. Managementul deșeurilor</w:t>
      </w:r>
      <w:r w:rsidR="00790201" w:rsidRPr="00C50F59">
        <w:rPr>
          <w:lang w:val="ro-RO"/>
        </w:rPr>
        <w:t>.</w:t>
      </w:r>
    </w:p>
    <w:p w14:paraId="0CF95753" w14:textId="77777777" w:rsidR="00081E3A" w:rsidRPr="00C50F59" w:rsidRDefault="00081E3A" w:rsidP="002301BC">
      <w:pPr>
        <w:spacing w:after="0" w:line="240" w:lineRule="auto"/>
        <w:ind w:left="0" w:right="-22" w:firstLine="360"/>
        <w:rPr>
          <w:lang w:val="ro-RO"/>
        </w:rPr>
      </w:pPr>
    </w:p>
    <w:p w14:paraId="5497D1BC" w14:textId="77777777" w:rsidR="00081E3A" w:rsidRPr="00C50F59" w:rsidRDefault="00081E3A" w:rsidP="002301BC">
      <w:pPr>
        <w:spacing w:after="0" w:line="240" w:lineRule="auto"/>
        <w:ind w:left="0" w:right="-22" w:firstLine="360"/>
        <w:rPr>
          <w:lang w:val="ro-RO"/>
        </w:rPr>
      </w:pPr>
    </w:p>
    <w:p w14:paraId="5F55F72E" w14:textId="77777777" w:rsidR="00081E3A" w:rsidRPr="00C50F59" w:rsidRDefault="00081E3A" w:rsidP="002301BC">
      <w:pPr>
        <w:spacing w:after="0" w:line="240" w:lineRule="auto"/>
        <w:ind w:left="0" w:right="-22" w:firstLine="360"/>
        <w:rPr>
          <w:lang w:val="ro-RO"/>
        </w:rPr>
      </w:pPr>
    </w:p>
    <w:p w14:paraId="7FF89066" w14:textId="77777777" w:rsidR="00081E3A" w:rsidRPr="00C50F59" w:rsidRDefault="00081E3A" w:rsidP="002301BC">
      <w:pPr>
        <w:spacing w:after="0" w:line="240" w:lineRule="auto"/>
        <w:ind w:left="0" w:right="-22" w:firstLine="360"/>
        <w:rPr>
          <w:lang w:val="ro-RO"/>
        </w:rPr>
      </w:pPr>
    </w:p>
    <w:p w14:paraId="7DC8A072" w14:textId="77777777" w:rsidR="00081E3A" w:rsidRPr="00C50F59" w:rsidRDefault="00081E3A" w:rsidP="002301BC">
      <w:pPr>
        <w:spacing w:after="0" w:line="240" w:lineRule="auto"/>
        <w:ind w:left="0" w:right="-22" w:firstLine="360"/>
        <w:rPr>
          <w:lang w:val="ro-RO"/>
        </w:rPr>
      </w:pPr>
    </w:p>
    <w:p w14:paraId="14C03E50" w14:textId="77777777" w:rsidR="00081E3A" w:rsidRPr="00C50F59" w:rsidRDefault="00081E3A" w:rsidP="00081E3A">
      <w:pPr>
        <w:rPr>
          <w:rFonts w:eastAsia="Times New Roman"/>
          <w:kern w:val="0"/>
          <w:bdr w:val="none" w:sz="0" w:space="0" w:color="auto" w:frame="1"/>
          <w:shd w:val="clear" w:color="auto" w:fill="FFFFFF"/>
          <w:lang w:val="ro-RO" w:eastAsia="ro-RO"/>
        </w:rPr>
      </w:pPr>
    </w:p>
    <w:p w14:paraId="3DC08DB2" w14:textId="77777777" w:rsidR="00081E3A" w:rsidRPr="00C50F59" w:rsidRDefault="00081E3A" w:rsidP="00081E3A">
      <w:pPr>
        <w:spacing w:after="0"/>
        <w:ind w:left="-90" w:right="-81" w:firstLine="90"/>
        <w:jc w:val="center"/>
        <w:rPr>
          <w:b/>
          <w:lang w:val="ro-RO"/>
        </w:rPr>
      </w:pPr>
    </w:p>
    <w:p w14:paraId="4CF08930" w14:textId="77777777" w:rsidR="00FA460E" w:rsidRPr="00C50F59" w:rsidRDefault="00FA460E" w:rsidP="00081E3A">
      <w:pPr>
        <w:tabs>
          <w:tab w:val="left" w:pos="4212"/>
        </w:tabs>
        <w:suppressAutoHyphens w:val="0"/>
        <w:spacing w:after="0" w:line="240" w:lineRule="auto"/>
        <w:ind w:left="0" w:right="-22"/>
        <w:jc w:val="left"/>
        <w:rPr>
          <w:rFonts w:eastAsia="Times New Roman"/>
          <w:bCs/>
          <w:iCs/>
          <w:color w:val="000000"/>
          <w:kern w:val="0"/>
          <w:lang w:val="ro-RO" w:eastAsia="en-US"/>
        </w:rPr>
      </w:pPr>
    </w:p>
    <w:sectPr w:rsidR="00FA460E" w:rsidRPr="00C50F59" w:rsidSect="006661B3">
      <w:headerReference w:type="default" r:id="rId7"/>
      <w:footerReference w:type="default" r:id="rId8"/>
      <w:pgSz w:w="11906" w:h="16838"/>
      <w:pgMar w:top="2302" w:right="991" w:bottom="1440" w:left="1440" w:header="270" w:footer="49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B91A" w14:textId="77777777" w:rsidR="00035509" w:rsidRDefault="00035509">
      <w:pPr>
        <w:spacing w:after="0" w:line="240" w:lineRule="auto"/>
      </w:pPr>
      <w:r>
        <w:separator/>
      </w:r>
    </w:p>
  </w:endnote>
  <w:endnote w:type="continuationSeparator" w:id="0">
    <w:p w14:paraId="6EFAE7AF" w14:textId="77777777" w:rsidR="00035509" w:rsidRDefault="0003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RomanR">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40DA" w14:textId="77777777" w:rsidR="001D611E" w:rsidRDefault="001D611E" w:rsidP="001D611E">
    <w:pPr>
      <w:pStyle w:val="Footer"/>
      <w:spacing w:after="0"/>
      <w:ind w:left="720"/>
      <w:rPr>
        <w:kern w:val="0"/>
        <w:sz w:val="14"/>
        <w:szCs w:val="14"/>
        <w:lang w:val="ro-RO" w:eastAsia="en-US"/>
      </w:rPr>
    </w:pPr>
    <w:r>
      <w:rPr>
        <w:sz w:val="14"/>
        <w:szCs w:val="14"/>
        <w:lang w:val="ro-RO"/>
      </w:rPr>
      <w:t xml:space="preserve">Calea Plevnei, nr. 139, Sector 6, </w:t>
    </w:r>
    <w:proofErr w:type="spellStart"/>
    <w:r>
      <w:rPr>
        <w:sz w:val="14"/>
        <w:szCs w:val="14"/>
        <w:lang w:val="ro-RO"/>
      </w:rPr>
      <w:t>Bucureşti</w:t>
    </w:r>
    <w:proofErr w:type="spellEnd"/>
  </w:p>
  <w:p w14:paraId="2174CC61" w14:textId="77777777" w:rsidR="001D611E" w:rsidRDefault="001D611E" w:rsidP="001D611E">
    <w:pPr>
      <w:pStyle w:val="Footer"/>
      <w:spacing w:after="0"/>
      <w:ind w:left="720"/>
      <w:rPr>
        <w:sz w:val="14"/>
        <w:szCs w:val="14"/>
        <w:lang w:val="ro-RO"/>
      </w:rPr>
    </w:pPr>
    <w:r>
      <w:rPr>
        <w:sz w:val="14"/>
        <w:szCs w:val="14"/>
        <w:lang w:val="ro-RO"/>
      </w:rPr>
      <w:t xml:space="preserve">e-mail: dgpnrr@mmediu.ro   </w:t>
    </w:r>
  </w:p>
  <w:p w14:paraId="18D16F45" w14:textId="77777777" w:rsidR="001D611E" w:rsidRDefault="001D611E" w:rsidP="001D611E">
    <w:pPr>
      <w:pStyle w:val="Footer"/>
      <w:spacing w:after="0"/>
      <w:ind w:left="720"/>
      <w:rPr>
        <w:sz w:val="14"/>
        <w:szCs w:val="14"/>
        <w:lang w:val="ro-RO"/>
      </w:rPr>
    </w:pPr>
    <w:r>
      <w:rPr>
        <w:sz w:val="14"/>
        <w:szCs w:val="14"/>
        <w:lang w:val="ro-RO"/>
      </w:rPr>
      <w:t xml:space="preserve">website: www.mmediu.ro </w:t>
    </w:r>
    <w:hyperlink r:id="rId1" w:history="1">
      <w:r>
        <w:rPr>
          <w:rStyle w:val="Hyperlink"/>
          <w:sz w:val="14"/>
          <w:szCs w:val="14"/>
          <w:lang w:val="ro-RO"/>
        </w:rPr>
        <w:t>http://pnrr.mmap.ro</w:t>
      </w:r>
    </w:hyperlink>
  </w:p>
  <w:p w14:paraId="35A66F3A" w14:textId="77777777" w:rsidR="004D14D8" w:rsidRDefault="004D14D8">
    <w:pPr>
      <w:spacing w:after="0" w:line="100" w:lineRule="atLeast"/>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79FA" w14:textId="77777777" w:rsidR="00035509" w:rsidRDefault="00035509">
      <w:pPr>
        <w:spacing w:after="0" w:line="240" w:lineRule="auto"/>
      </w:pPr>
      <w:r>
        <w:separator/>
      </w:r>
    </w:p>
  </w:footnote>
  <w:footnote w:type="continuationSeparator" w:id="0">
    <w:p w14:paraId="586EE761" w14:textId="77777777" w:rsidR="00035509" w:rsidRDefault="00035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003E" w14:textId="77777777" w:rsidR="0017338F" w:rsidRDefault="00D730CF">
    <w:pPr>
      <w:pStyle w:val="Header"/>
    </w:pPr>
    <w:r>
      <w:rPr>
        <w:noProof/>
        <w:lang w:val="ro-RO" w:eastAsia="ro-RO"/>
      </w:rPr>
      <w:drawing>
        <wp:anchor distT="0" distB="0" distL="114300" distR="114300" simplePos="0" relativeHeight="251657728" behindDoc="0" locked="0" layoutInCell="1" allowOverlap="1" wp14:anchorId="036C972C" wp14:editId="77F02542">
          <wp:simplePos x="0" y="0"/>
          <wp:positionH relativeFrom="column">
            <wp:posOffset>-304800</wp:posOffset>
          </wp:positionH>
          <wp:positionV relativeFrom="paragraph">
            <wp:posOffset>248285</wp:posOffset>
          </wp:positionV>
          <wp:extent cx="3236595" cy="899795"/>
          <wp:effectExtent l="0" t="0" r="0" b="0"/>
          <wp:wrapSquare wrapText="bothSides"/>
          <wp:docPr id="980298781" name="Picture 98029878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95705" w14:textId="77777777" w:rsidR="004D14D8" w:rsidRDefault="004D14D8">
    <w:pPr>
      <w:pStyle w:val="Header"/>
      <w:tabs>
        <w:tab w:val="clear" w:pos="4320"/>
        <w:tab w:val="clear" w:pos="864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rPr>
        <w:b/>
        <w:i w:val="0"/>
        <w:caps w:val="0"/>
        <w:smallCaps w:val="0"/>
        <w:dstrike/>
        <w:vanish w:val="0"/>
        <w:color w:val="000000"/>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color w:val="00000A"/>
        <w:sz w:val="22"/>
        <w:szCs w:val="22"/>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11647A4"/>
    <w:multiLevelType w:val="hybridMultilevel"/>
    <w:tmpl w:val="D3DC3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4B65"/>
    <w:multiLevelType w:val="hybridMultilevel"/>
    <w:tmpl w:val="41D627B4"/>
    <w:lvl w:ilvl="0" w:tplc="20E65CAA">
      <w:start w:val="1"/>
      <w:numFmt w:val="bullet"/>
      <w:lvlText w:val="-"/>
      <w:lvlJc w:val="left"/>
      <w:pPr>
        <w:ind w:left="720" w:hanging="360"/>
      </w:pPr>
      <w:rPr>
        <w:rFonts w:ascii="Trebuchet MS" w:eastAsia="MS Mincho"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5F6C"/>
    <w:multiLevelType w:val="hybridMultilevel"/>
    <w:tmpl w:val="7F520F10"/>
    <w:lvl w:ilvl="0" w:tplc="D19849FA">
      <w:start w:val="1"/>
      <w:numFmt w:val="bullet"/>
      <w:lvlText w:val="-"/>
      <w:lvlJc w:val="left"/>
      <w:pPr>
        <w:ind w:left="180" w:hanging="360"/>
      </w:pPr>
      <w:rPr>
        <w:rFonts w:ascii="Times New Roman" w:eastAsia="MS Mincho"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2807D7B"/>
    <w:multiLevelType w:val="hybridMultilevel"/>
    <w:tmpl w:val="75F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6B3C"/>
    <w:multiLevelType w:val="hybridMultilevel"/>
    <w:tmpl w:val="6E368FC0"/>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6" w15:restartNumberingAfterBreak="0">
    <w:nsid w:val="1D0503FC"/>
    <w:multiLevelType w:val="hybridMultilevel"/>
    <w:tmpl w:val="09462C86"/>
    <w:lvl w:ilvl="0" w:tplc="7E108BB4">
      <w:start w:val="1"/>
      <w:numFmt w:val="bullet"/>
      <w:lvlText w:val="-"/>
      <w:lvlJc w:val="left"/>
      <w:pPr>
        <w:ind w:left="180" w:hanging="360"/>
      </w:pPr>
      <w:rPr>
        <w:rFonts w:ascii="Calibri" w:eastAsia="Calibri"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1DD52755"/>
    <w:multiLevelType w:val="hybridMultilevel"/>
    <w:tmpl w:val="3C78557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29C728F"/>
    <w:multiLevelType w:val="hybridMultilevel"/>
    <w:tmpl w:val="40682B14"/>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3D44634"/>
    <w:multiLevelType w:val="hybridMultilevel"/>
    <w:tmpl w:val="939092C2"/>
    <w:lvl w:ilvl="0" w:tplc="CE842EF4">
      <w:start w:val="10"/>
      <w:numFmt w:val="bullet"/>
      <w:lvlText w:val="-"/>
      <w:lvlJc w:val="left"/>
      <w:pPr>
        <w:ind w:left="1080" w:hanging="360"/>
      </w:pPr>
      <w:rPr>
        <w:rFonts w:ascii="Trebuchet MS" w:eastAsia="MS Mincho" w:hAnsi="Trebuchet MS"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3FF294E"/>
    <w:multiLevelType w:val="hybridMultilevel"/>
    <w:tmpl w:val="E508F3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46F7512"/>
    <w:multiLevelType w:val="hybridMultilevel"/>
    <w:tmpl w:val="81DEC24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1251DA5"/>
    <w:multiLevelType w:val="hybridMultilevel"/>
    <w:tmpl w:val="B2EC9E8C"/>
    <w:lvl w:ilvl="0" w:tplc="5F385D10">
      <w:start w:val="1"/>
      <w:numFmt w:val="upperLetter"/>
      <w:lvlText w:val="%1."/>
      <w:lvlJc w:val="left"/>
      <w:pPr>
        <w:ind w:left="360" w:hanging="360"/>
      </w:pPr>
      <w:rPr>
        <w:rFonts w:eastAsia="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1553E27"/>
    <w:multiLevelType w:val="multilevel"/>
    <w:tmpl w:val="8556C58E"/>
    <w:lvl w:ilvl="0">
      <w:start w:val="1"/>
      <w:numFmt w:val="decimal"/>
      <w:lvlText w:val="%1."/>
      <w:lvlJc w:val="left"/>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F62D71"/>
    <w:multiLevelType w:val="hybridMultilevel"/>
    <w:tmpl w:val="5C8034E6"/>
    <w:lvl w:ilvl="0" w:tplc="1444F0BE">
      <w:numFmt w:val="bullet"/>
      <w:lvlText w:val=""/>
      <w:lvlJc w:val="left"/>
      <w:pPr>
        <w:ind w:left="720" w:hanging="360"/>
      </w:pPr>
      <w:rPr>
        <w:rFonts w:ascii="Symbol" w:eastAsia="MS Mincho"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3F6737A"/>
    <w:multiLevelType w:val="hybridMultilevel"/>
    <w:tmpl w:val="DD348D86"/>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6" w15:restartNumberingAfterBreak="0">
    <w:nsid w:val="44205195"/>
    <w:multiLevelType w:val="hybridMultilevel"/>
    <w:tmpl w:val="C2862D3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54A6460"/>
    <w:multiLevelType w:val="hybridMultilevel"/>
    <w:tmpl w:val="2AF8F4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AAE2EDE"/>
    <w:multiLevelType w:val="hybridMultilevel"/>
    <w:tmpl w:val="B42A63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BB365B8"/>
    <w:multiLevelType w:val="hybridMultilevel"/>
    <w:tmpl w:val="999C750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29149CE"/>
    <w:multiLevelType w:val="hybridMultilevel"/>
    <w:tmpl w:val="4890504A"/>
    <w:lvl w:ilvl="0" w:tplc="F454F20E">
      <w:start w:val="1"/>
      <w:numFmt w:val="bullet"/>
      <w:lvlText w:val=""/>
      <w:lvlJc w:val="left"/>
      <w:pPr>
        <w:ind w:left="2136" w:hanging="360"/>
      </w:pPr>
      <w:rPr>
        <w:rFonts w:ascii="Symbol" w:hAnsi="Symbol" w:hint="default"/>
        <w:sz w:val="24"/>
        <w:szCs w:val="24"/>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21" w15:restartNumberingAfterBreak="0">
    <w:nsid w:val="54284C42"/>
    <w:multiLevelType w:val="hybridMultilevel"/>
    <w:tmpl w:val="3390A4EA"/>
    <w:lvl w:ilvl="0" w:tplc="04180005">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4922EF5"/>
    <w:multiLevelType w:val="hybridMultilevel"/>
    <w:tmpl w:val="8DBAABD2"/>
    <w:lvl w:ilvl="0" w:tplc="881E7F3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52052"/>
    <w:multiLevelType w:val="hybridMultilevel"/>
    <w:tmpl w:val="D65AF66A"/>
    <w:lvl w:ilvl="0" w:tplc="A69E8C18">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4" w15:restartNumberingAfterBreak="0">
    <w:nsid w:val="5FCA137D"/>
    <w:multiLevelType w:val="hybridMultilevel"/>
    <w:tmpl w:val="F61E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67552"/>
    <w:multiLevelType w:val="multilevel"/>
    <w:tmpl w:val="438A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5035FB"/>
    <w:multiLevelType w:val="hybridMultilevel"/>
    <w:tmpl w:val="9962CE38"/>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7" w15:restartNumberingAfterBreak="0">
    <w:nsid w:val="68B37648"/>
    <w:multiLevelType w:val="hybridMultilevel"/>
    <w:tmpl w:val="CD6E95EA"/>
    <w:lvl w:ilvl="0" w:tplc="D1C29036">
      <w:start w:val="1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E7597"/>
    <w:multiLevelType w:val="multilevel"/>
    <w:tmpl w:val="D956557C"/>
    <w:lvl w:ilvl="0">
      <w:numFmt w:val="bullet"/>
      <w:lvlText w:val="-"/>
      <w:lvlJc w:val="left"/>
      <w:pPr>
        <w:ind w:left="1080" w:hanging="72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A4704DC"/>
    <w:multiLevelType w:val="hybridMultilevel"/>
    <w:tmpl w:val="6E3EB5B8"/>
    <w:lvl w:ilvl="0" w:tplc="A8649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B7792C"/>
    <w:multiLevelType w:val="hybridMultilevel"/>
    <w:tmpl w:val="31A6FAF6"/>
    <w:lvl w:ilvl="0" w:tplc="F454F20E">
      <w:start w:val="1"/>
      <w:numFmt w:val="bullet"/>
      <w:lvlText w:val=""/>
      <w:lvlJc w:val="left"/>
      <w:pPr>
        <w:ind w:left="1428" w:hanging="360"/>
      </w:pPr>
      <w:rPr>
        <w:rFonts w:ascii="Symbol" w:hAnsi="Symbol" w:hint="default"/>
        <w:sz w:val="24"/>
        <w:szCs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6D1A3C4E"/>
    <w:multiLevelType w:val="multilevel"/>
    <w:tmpl w:val="498ABE4A"/>
    <w:lvl w:ilvl="0">
      <w:start w:val="1"/>
      <w:numFmt w:val="decimal"/>
      <w:lvlText w:val="%1"/>
      <w:lvlJc w:val="left"/>
      <w:pPr>
        <w:ind w:left="432" w:hanging="432"/>
      </w:pPr>
    </w:lvl>
    <w:lvl w:ilvl="1">
      <w:start w:val="1"/>
      <w:numFmt w:val="decimal"/>
      <w:lvlText w:val="%1.%2"/>
      <w:lvlJc w:val="left"/>
      <w:pPr>
        <w:ind w:left="576" w:hanging="576"/>
      </w:pPr>
      <w:rPr>
        <w:strike w:val="0"/>
      </w:r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DA35E13"/>
    <w:multiLevelType w:val="hybridMultilevel"/>
    <w:tmpl w:val="A65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076A4"/>
    <w:multiLevelType w:val="multilevel"/>
    <w:tmpl w:val="9D485B4C"/>
    <w:lvl w:ilvl="0">
      <w:start w:val="1"/>
      <w:numFmt w:val="decimal"/>
      <w:lvlText w:val="%1."/>
      <w:lvlJc w:val="left"/>
      <w:pPr>
        <w:ind w:left="720" w:hanging="360"/>
      </w:pPr>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28901575">
    <w:abstractNumId w:val="0"/>
  </w:num>
  <w:num w:numId="2" w16cid:durableId="1214733793">
    <w:abstractNumId w:val="23"/>
  </w:num>
  <w:num w:numId="3" w16cid:durableId="589195174">
    <w:abstractNumId w:val="9"/>
  </w:num>
  <w:num w:numId="4" w16cid:durableId="1143741853">
    <w:abstractNumId w:val="22"/>
  </w:num>
  <w:num w:numId="5" w16cid:durableId="301272019">
    <w:abstractNumId w:val="21"/>
  </w:num>
  <w:num w:numId="6" w16cid:durableId="396634528">
    <w:abstractNumId w:val="8"/>
  </w:num>
  <w:num w:numId="7" w16cid:durableId="1042941605">
    <w:abstractNumId w:val="14"/>
  </w:num>
  <w:num w:numId="8" w16cid:durableId="369232631">
    <w:abstractNumId w:val="12"/>
  </w:num>
  <w:num w:numId="9" w16cid:durableId="1507860274">
    <w:abstractNumId w:val="10"/>
  </w:num>
  <w:num w:numId="10" w16cid:durableId="567688779">
    <w:abstractNumId w:val="27"/>
  </w:num>
  <w:num w:numId="11" w16cid:durableId="652178039">
    <w:abstractNumId w:val="2"/>
  </w:num>
  <w:num w:numId="12" w16cid:durableId="1895195568">
    <w:abstractNumId w:val="1"/>
  </w:num>
  <w:num w:numId="13" w16cid:durableId="1977027997">
    <w:abstractNumId w:val="26"/>
  </w:num>
  <w:num w:numId="14" w16cid:durableId="933167367">
    <w:abstractNumId w:val="3"/>
  </w:num>
  <w:num w:numId="15" w16cid:durableId="779180880">
    <w:abstractNumId w:val="6"/>
  </w:num>
  <w:num w:numId="16" w16cid:durableId="259064315">
    <w:abstractNumId w:val="29"/>
  </w:num>
  <w:num w:numId="17" w16cid:durableId="1087270291">
    <w:abstractNumId w:val="18"/>
  </w:num>
  <w:num w:numId="18" w16cid:durableId="1843666456">
    <w:abstractNumId w:val="19"/>
  </w:num>
  <w:num w:numId="19" w16cid:durableId="916477832">
    <w:abstractNumId w:val="16"/>
  </w:num>
  <w:num w:numId="20" w16cid:durableId="2146190479">
    <w:abstractNumId w:val="11"/>
  </w:num>
  <w:num w:numId="21" w16cid:durableId="1733381641">
    <w:abstractNumId w:val="31"/>
  </w:num>
  <w:num w:numId="22" w16cid:durableId="481042452">
    <w:abstractNumId w:val="25"/>
  </w:num>
  <w:num w:numId="23" w16cid:durableId="397627648">
    <w:abstractNumId w:val="17"/>
  </w:num>
  <w:num w:numId="24" w16cid:durableId="1811970591">
    <w:abstractNumId w:val="32"/>
  </w:num>
  <w:num w:numId="25" w16cid:durableId="1660570177">
    <w:abstractNumId w:val="7"/>
  </w:num>
  <w:num w:numId="26" w16cid:durableId="1336957266">
    <w:abstractNumId w:val="4"/>
  </w:num>
  <w:num w:numId="27" w16cid:durableId="1132022067">
    <w:abstractNumId w:val="30"/>
  </w:num>
  <w:num w:numId="28" w16cid:durableId="1287658864">
    <w:abstractNumId w:val="20"/>
  </w:num>
  <w:num w:numId="29" w16cid:durableId="1133136442">
    <w:abstractNumId w:val="28"/>
  </w:num>
  <w:num w:numId="30" w16cid:durableId="1628854651">
    <w:abstractNumId w:val="13"/>
  </w:num>
  <w:num w:numId="31" w16cid:durableId="488056308">
    <w:abstractNumId w:val="30"/>
  </w:num>
  <w:num w:numId="32" w16cid:durableId="586885358">
    <w:abstractNumId w:val="15"/>
  </w:num>
  <w:num w:numId="33" w16cid:durableId="704058117">
    <w:abstractNumId w:val="33"/>
  </w:num>
  <w:num w:numId="34" w16cid:durableId="891110896">
    <w:abstractNumId w:val="24"/>
  </w:num>
  <w:num w:numId="35" w16cid:durableId="2075734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CC"/>
    <w:rsid w:val="0002580F"/>
    <w:rsid w:val="00026CED"/>
    <w:rsid w:val="00033EB4"/>
    <w:rsid w:val="00035509"/>
    <w:rsid w:val="0003589D"/>
    <w:rsid w:val="00045019"/>
    <w:rsid w:val="00051572"/>
    <w:rsid w:val="00055C05"/>
    <w:rsid w:val="00073E65"/>
    <w:rsid w:val="00073F3A"/>
    <w:rsid w:val="0008170F"/>
    <w:rsid w:val="00081E3A"/>
    <w:rsid w:val="00085C44"/>
    <w:rsid w:val="00091C40"/>
    <w:rsid w:val="00097898"/>
    <w:rsid w:val="000B4258"/>
    <w:rsid w:val="000C1A16"/>
    <w:rsid w:val="000C3303"/>
    <w:rsid w:val="000C60E0"/>
    <w:rsid w:val="000C639B"/>
    <w:rsid w:val="000C798B"/>
    <w:rsid w:val="000D0D64"/>
    <w:rsid w:val="000D177B"/>
    <w:rsid w:val="000D7EFF"/>
    <w:rsid w:val="000E23B3"/>
    <w:rsid w:val="000E3C69"/>
    <w:rsid w:val="001039CC"/>
    <w:rsid w:val="00104260"/>
    <w:rsid w:val="00106A9A"/>
    <w:rsid w:val="00111B61"/>
    <w:rsid w:val="00116041"/>
    <w:rsid w:val="00116498"/>
    <w:rsid w:val="001209FC"/>
    <w:rsid w:val="00122F77"/>
    <w:rsid w:val="001235AB"/>
    <w:rsid w:val="00123803"/>
    <w:rsid w:val="00133DB5"/>
    <w:rsid w:val="0013579B"/>
    <w:rsid w:val="0014073F"/>
    <w:rsid w:val="0014189F"/>
    <w:rsid w:val="00146D9F"/>
    <w:rsid w:val="001512D5"/>
    <w:rsid w:val="00154301"/>
    <w:rsid w:val="001614FA"/>
    <w:rsid w:val="00166BC9"/>
    <w:rsid w:val="00171DC9"/>
    <w:rsid w:val="00172147"/>
    <w:rsid w:val="0017338F"/>
    <w:rsid w:val="00173464"/>
    <w:rsid w:val="00182B62"/>
    <w:rsid w:val="001843EB"/>
    <w:rsid w:val="001857BE"/>
    <w:rsid w:val="001966FE"/>
    <w:rsid w:val="001A0F89"/>
    <w:rsid w:val="001A351E"/>
    <w:rsid w:val="001A3AE5"/>
    <w:rsid w:val="001A51EF"/>
    <w:rsid w:val="001A7FB3"/>
    <w:rsid w:val="001B210D"/>
    <w:rsid w:val="001B30F8"/>
    <w:rsid w:val="001C11DC"/>
    <w:rsid w:val="001C5BC1"/>
    <w:rsid w:val="001C694E"/>
    <w:rsid w:val="001D3365"/>
    <w:rsid w:val="001D611E"/>
    <w:rsid w:val="001D6ABE"/>
    <w:rsid w:val="001F08D3"/>
    <w:rsid w:val="001F6690"/>
    <w:rsid w:val="001F6E41"/>
    <w:rsid w:val="002006E1"/>
    <w:rsid w:val="00212BD9"/>
    <w:rsid w:val="002175DC"/>
    <w:rsid w:val="002301BC"/>
    <w:rsid w:val="00232592"/>
    <w:rsid w:val="0024464F"/>
    <w:rsid w:val="00247BDF"/>
    <w:rsid w:val="0025442F"/>
    <w:rsid w:val="00266407"/>
    <w:rsid w:val="002766BB"/>
    <w:rsid w:val="00285E63"/>
    <w:rsid w:val="00286082"/>
    <w:rsid w:val="002903EC"/>
    <w:rsid w:val="002968E2"/>
    <w:rsid w:val="002A3C6B"/>
    <w:rsid w:val="002A71DB"/>
    <w:rsid w:val="002B00B0"/>
    <w:rsid w:val="002B73B4"/>
    <w:rsid w:val="002C0118"/>
    <w:rsid w:val="002D5506"/>
    <w:rsid w:val="002D6247"/>
    <w:rsid w:val="002D71C9"/>
    <w:rsid w:val="002E5607"/>
    <w:rsid w:val="002E700E"/>
    <w:rsid w:val="002F1DAC"/>
    <w:rsid w:val="0030013A"/>
    <w:rsid w:val="00325135"/>
    <w:rsid w:val="00325456"/>
    <w:rsid w:val="003300E5"/>
    <w:rsid w:val="0033447D"/>
    <w:rsid w:val="003344F9"/>
    <w:rsid w:val="00351119"/>
    <w:rsid w:val="003713E2"/>
    <w:rsid w:val="00380959"/>
    <w:rsid w:val="0038423E"/>
    <w:rsid w:val="003869CB"/>
    <w:rsid w:val="003A2908"/>
    <w:rsid w:val="003A5024"/>
    <w:rsid w:val="003B396E"/>
    <w:rsid w:val="003C39CF"/>
    <w:rsid w:val="003C5D9E"/>
    <w:rsid w:val="003C7528"/>
    <w:rsid w:val="003D3425"/>
    <w:rsid w:val="003D575F"/>
    <w:rsid w:val="003E2AB6"/>
    <w:rsid w:val="003E5105"/>
    <w:rsid w:val="003E69A5"/>
    <w:rsid w:val="003F1996"/>
    <w:rsid w:val="003F28F8"/>
    <w:rsid w:val="003F4157"/>
    <w:rsid w:val="003F5D55"/>
    <w:rsid w:val="004026C2"/>
    <w:rsid w:val="004031E5"/>
    <w:rsid w:val="00405F8F"/>
    <w:rsid w:val="004071D5"/>
    <w:rsid w:val="0041056F"/>
    <w:rsid w:val="00411AB1"/>
    <w:rsid w:val="00413844"/>
    <w:rsid w:val="00421CF5"/>
    <w:rsid w:val="00426011"/>
    <w:rsid w:val="00427E83"/>
    <w:rsid w:val="00440343"/>
    <w:rsid w:val="0044079A"/>
    <w:rsid w:val="00445882"/>
    <w:rsid w:val="004478BD"/>
    <w:rsid w:val="00450E4C"/>
    <w:rsid w:val="00452590"/>
    <w:rsid w:val="00453E94"/>
    <w:rsid w:val="00454C91"/>
    <w:rsid w:val="004740F3"/>
    <w:rsid w:val="004765E3"/>
    <w:rsid w:val="00476618"/>
    <w:rsid w:val="004922BF"/>
    <w:rsid w:val="004A73E2"/>
    <w:rsid w:val="004B01A8"/>
    <w:rsid w:val="004B4077"/>
    <w:rsid w:val="004B624D"/>
    <w:rsid w:val="004B68AA"/>
    <w:rsid w:val="004C2398"/>
    <w:rsid w:val="004C41D5"/>
    <w:rsid w:val="004C5596"/>
    <w:rsid w:val="004C576C"/>
    <w:rsid w:val="004D14D8"/>
    <w:rsid w:val="004D24B5"/>
    <w:rsid w:val="004E2CE9"/>
    <w:rsid w:val="004E3837"/>
    <w:rsid w:val="004F7B87"/>
    <w:rsid w:val="00501C35"/>
    <w:rsid w:val="00505318"/>
    <w:rsid w:val="005076FA"/>
    <w:rsid w:val="00511908"/>
    <w:rsid w:val="0051661B"/>
    <w:rsid w:val="005340ED"/>
    <w:rsid w:val="00540B90"/>
    <w:rsid w:val="0057270F"/>
    <w:rsid w:val="005757BF"/>
    <w:rsid w:val="00594D86"/>
    <w:rsid w:val="005A0D28"/>
    <w:rsid w:val="005A4910"/>
    <w:rsid w:val="005C6604"/>
    <w:rsid w:val="005C7060"/>
    <w:rsid w:val="005D1F6B"/>
    <w:rsid w:val="005D34E1"/>
    <w:rsid w:val="005D620F"/>
    <w:rsid w:val="005D69B4"/>
    <w:rsid w:val="005E651C"/>
    <w:rsid w:val="005E68C1"/>
    <w:rsid w:val="005F31BF"/>
    <w:rsid w:val="006057E2"/>
    <w:rsid w:val="00605CB0"/>
    <w:rsid w:val="00610BE3"/>
    <w:rsid w:val="00615642"/>
    <w:rsid w:val="00621354"/>
    <w:rsid w:val="00631880"/>
    <w:rsid w:val="00631DC6"/>
    <w:rsid w:val="00636C2C"/>
    <w:rsid w:val="00645B96"/>
    <w:rsid w:val="00646D58"/>
    <w:rsid w:val="00656D03"/>
    <w:rsid w:val="006661B3"/>
    <w:rsid w:val="00670206"/>
    <w:rsid w:val="00672E8F"/>
    <w:rsid w:val="00674C58"/>
    <w:rsid w:val="006811F0"/>
    <w:rsid w:val="00683FB4"/>
    <w:rsid w:val="00687135"/>
    <w:rsid w:val="00695E10"/>
    <w:rsid w:val="006A42F8"/>
    <w:rsid w:val="006B00F3"/>
    <w:rsid w:val="006B502F"/>
    <w:rsid w:val="006C6A10"/>
    <w:rsid w:val="006D0EC1"/>
    <w:rsid w:val="006D466C"/>
    <w:rsid w:val="006D5A39"/>
    <w:rsid w:val="006D7BC8"/>
    <w:rsid w:val="006E1AE7"/>
    <w:rsid w:val="006E5817"/>
    <w:rsid w:val="006F394A"/>
    <w:rsid w:val="00702AB0"/>
    <w:rsid w:val="007173CB"/>
    <w:rsid w:val="007204EC"/>
    <w:rsid w:val="007209AD"/>
    <w:rsid w:val="00720E79"/>
    <w:rsid w:val="00721081"/>
    <w:rsid w:val="00722352"/>
    <w:rsid w:val="00723102"/>
    <w:rsid w:val="00726263"/>
    <w:rsid w:val="00730284"/>
    <w:rsid w:val="00730639"/>
    <w:rsid w:val="00741DD5"/>
    <w:rsid w:val="00742E66"/>
    <w:rsid w:val="00746275"/>
    <w:rsid w:val="00746E81"/>
    <w:rsid w:val="007501B8"/>
    <w:rsid w:val="00752C5C"/>
    <w:rsid w:val="00753C58"/>
    <w:rsid w:val="00753D18"/>
    <w:rsid w:val="0075491F"/>
    <w:rsid w:val="00761144"/>
    <w:rsid w:val="007636DD"/>
    <w:rsid w:val="00763BE2"/>
    <w:rsid w:val="00780C75"/>
    <w:rsid w:val="00780F31"/>
    <w:rsid w:val="00782F76"/>
    <w:rsid w:val="00790201"/>
    <w:rsid w:val="007944A5"/>
    <w:rsid w:val="007D1273"/>
    <w:rsid w:val="007D29EB"/>
    <w:rsid w:val="007D4F62"/>
    <w:rsid w:val="007D6032"/>
    <w:rsid w:val="007E1D4B"/>
    <w:rsid w:val="00801FEE"/>
    <w:rsid w:val="00813E51"/>
    <w:rsid w:val="00817E89"/>
    <w:rsid w:val="008243F0"/>
    <w:rsid w:val="00825A91"/>
    <w:rsid w:val="008302B7"/>
    <w:rsid w:val="00836266"/>
    <w:rsid w:val="008444CF"/>
    <w:rsid w:val="00847F2B"/>
    <w:rsid w:val="00852CEC"/>
    <w:rsid w:val="00865E2D"/>
    <w:rsid w:val="00873D77"/>
    <w:rsid w:val="00877E76"/>
    <w:rsid w:val="00881EF7"/>
    <w:rsid w:val="008845B4"/>
    <w:rsid w:val="00884ACC"/>
    <w:rsid w:val="008A2B57"/>
    <w:rsid w:val="008B4134"/>
    <w:rsid w:val="008B6789"/>
    <w:rsid w:val="008C1955"/>
    <w:rsid w:val="008C347F"/>
    <w:rsid w:val="008C5EAE"/>
    <w:rsid w:val="008D3085"/>
    <w:rsid w:val="008D7BB1"/>
    <w:rsid w:val="008E682A"/>
    <w:rsid w:val="008E7A17"/>
    <w:rsid w:val="008F24A4"/>
    <w:rsid w:val="00900A12"/>
    <w:rsid w:val="00902FBE"/>
    <w:rsid w:val="0090397B"/>
    <w:rsid w:val="00913622"/>
    <w:rsid w:val="00916AD4"/>
    <w:rsid w:val="00917C6C"/>
    <w:rsid w:val="00923481"/>
    <w:rsid w:val="00924571"/>
    <w:rsid w:val="009375FA"/>
    <w:rsid w:val="00937A66"/>
    <w:rsid w:val="00940BCA"/>
    <w:rsid w:val="00941A35"/>
    <w:rsid w:val="00944E2F"/>
    <w:rsid w:val="00945D18"/>
    <w:rsid w:val="009A1C6F"/>
    <w:rsid w:val="009A1CB6"/>
    <w:rsid w:val="009A4000"/>
    <w:rsid w:val="009B66EE"/>
    <w:rsid w:val="009C1DF1"/>
    <w:rsid w:val="009D64F3"/>
    <w:rsid w:val="009D6EAE"/>
    <w:rsid w:val="009D7DB0"/>
    <w:rsid w:val="009E1DAA"/>
    <w:rsid w:val="009E477C"/>
    <w:rsid w:val="009F454F"/>
    <w:rsid w:val="009F5330"/>
    <w:rsid w:val="00A0709E"/>
    <w:rsid w:val="00A143E3"/>
    <w:rsid w:val="00A220FC"/>
    <w:rsid w:val="00A30FFB"/>
    <w:rsid w:val="00A36332"/>
    <w:rsid w:val="00A43A45"/>
    <w:rsid w:val="00A45D4A"/>
    <w:rsid w:val="00A5020F"/>
    <w:rsid w:val="00A64A48"/>
    <w:rsid w:val="00A712D3"/>
    <w:rsid w:val="00A722A3"/>
    <w:rsid w:val="00A803C2"/>
    <w:rsid w:val="00A8172E"/>
    <w:rsid w:val="00A83E2B"/>
    <w:rsid w:val="00A8411A"/>
    <w:rsid w:val="00A90176"/>
    <w:rsid w:val="00A90C8A"/>
    <w:rsid w:val="00AA3EFC"/>
    <w:rsid w:val="00AA5AAC"/>
    <w:rsid w:val="00AC2F89"/>
    <w:rsid w:val="00AD2AE5"/>
    <w:rsid w:val="00AE11ED"/>
    <w:rsid w:val="00AE1582"/>
    <w:rsid w:val="00AE3260"/>
    <w:rsid w:val="00AF4B5F"/>
    <w:rsid w:val="00AF76E0"/>
    <w:rsid w:val="00B1253D"/>
    <w:rsid w:val="00B311E3"/>
    <w:rsid w:val="00B32E59"/>
    <w:rsid w:val="00B33892"/>
    <w:rsid w:val="00B412A6"/>
    <w:rsid w:val="00B56CFE"/>
    <w:rsid w:val="00B56EDB"/>
    <w:rsid w:val="00B656B4"/>
    <w:rsid w:val="00B7262C"/>
    <w:rsid w:val="00B72C2C"/>
    <w:rsid w:val="00B82CD7"/>
    <w:rsid w:val="00B85F49"/>
    <w:rsid w:val="00B92303"/>
    <w:rsid w:val="00B93B92"/>
    <w:rsid w:val="00BA3A29"/>
    <w:rsid w:val="00BA4B97"/>
    <w:rsid w:val="00BC4702"/>
    <w:rsid w:val="00BC5B47"/>
    <w:rsid w:val="00BC61BC"/>
    <w:rsid w:val="00BD03E0"/>
    <w:rsid w:val="00BD4478"/>
    <w:rsid w:val="00BE0103"/>
    <w:rsid w:val="00BE22E6"/>
    <w:rsid w:val="00C01BC9"/>
    <w:rsid w:val="00C06B9A"/>
    <w:rsid w:val="00C07768"/>
    <w:rsid w:val="00C1053C"/>
    <w:rsid w:val="00C153E7"/>
    <w:rsid w:val="00C15536"/>
    <w:rsid w:val="00C2158C"/>
    <w:rsid w:val="00C23256"/>
    <w:rsid w:val="00C23F6B"/>
    <w:rsid w:val="00C252C7"/>
    <w:rsid w:val="00C3032B"/>
    <w:rsid w:val="00C423A0"/>
    <w:rsid w:val="00C46FA7"/>
    <w:rsid w:val="00C50916"/>
    <w:rsid w:val="00C50F59"/>
    <w:rsid w:val="00C562CE"/>
    <w:rsid w:val="00C60615"/>
    <w:rsid w:val="00C61DDB"/>
    <w:rsid w:val="00C63DA2"/>
    <w:rsid w:val="00C665EB"/>
    <w:rsid w:val="00C775C4"/>
    <w:rsid w:val="00C81602"/>
    <w:rsid w:val="00C9026D"/>
    <w:rsid w:val="00C95A6F"/>
    <w:rsid w:val="00CA4D38"/>
    <w:rsid w:val="00CA53C9"/>
    <w:rsid w:val="00CB0B77"/>
    <w:rsid w:val="00CB12F5"/>
    <w:rsid w:val="00CB1DE1"/>
    <w:rsid w:val="00CD2F33"/>
    <w:rsid w:val="00CD697E"/>
    <w:rsid w:val="00CE341A"/>
    <w:rsid w:val="00CE622E"/>
    <w:rsid w:val="00CF2F91"/>
    <w:rsid w:val="00CF6C22"/>
    <w:rsid w:val="00CF7D53"/>
    <w:rsid w:val="00D0442B"/>
    <w:rsid w:val="00D058CE"/>
    <w:rsid w:val="00D05CB2"/>
    <w:rsid w:val="00D05E6F"/>
    <w:rsid w:val="00D1125A"/>
    <w:rsid w:val="00D135DB"/>
    <w:rsid w:val="00D1622E"/>
    <w:rsid w:val="00D21185"/>
    <w:rsid w:val="00D24A33"/>
    <w:rsid w:val="00D4302D"/>
    <w:rsid w:val="00D53FA0"/>
    <w:rsid w:val="00D549CC"/>
    <w:rsid w:val="00D606FC"/>
    <w:rsid w:val="00D60869"/>
    <w:rsid w:val="00D72B70"/>
    <w:rsid w:val="00D730CF"/>
    <w:rsid w:val="00D8294E"/>
    <w:rsid w:val="00D82EE4"/>
    <w:rsid w:val="00D938E2"/>
    <w:rsid w:val="00DA0EAA"/>
    <w:rsid w:val="00DA1342"/>
    <w:rsid w:val="00DB4B7F"/>
    <w:rsid w:val="00DC12C5"/>
    <w:rsid w:val="00DC445F"/>
    <w:rsid w:val="00DC5709"/>
    <w:rsid w:val="00DC66E3"/>
    <w:rsid w:val="00DD0BFA"/>
    <w:rsid w:val="00DE1B0C"/>
    <w:rsid w:val="00DE3CCD"/>
    <w:rsid w:val="00DF729B"/>
    <w:rsid w:val="00E019CB"/>
    <w:rsid w:val="00E15295"/>
    <w:rsid w:val="00E15F11"/>
    <w:rsid w:val="00E230E3"/>
    <w:rsid w:val="00E45E58"/>
    <w:rsid w:val="00E47B24"/>
    <w:rsid w:val="00E505E8"/>
    <w:rsid w:val="00E55497"/>
    <w:rsid w:val="00E57043"/>
    <w:rsid w:val="00E67C89"/>
    <w:rsid w:val="00E7031A"/>
    <w:rsid w:val="00E71814"/>
    <w:rsid w:val="00E876C1"/>
    <w:rsid w:val="00E9560C"/>
    <w:rsid w:val="00EB0E79"/>
    <w:rsid w:val="00EB2096"/>
    <w:rsid w:val="00EB5EFE"/>
    <w:rsid w:val="00EC68EF"/>
    <w:rsid w:val="00ED41BA"/>
    <w:rsid w:val="00EE2EAE"/>
    <w:rsid w:val="00EE7E5F"/>
    <w:rsid w:val="00F0404A"/>
    <w:rsid w:val="00F10371"/>
    <w:rsid w:val="00F268BA"/>
    <w:rsid w:val="00F3005F"/>
    <w:rsid w:val="00F3044A"/>
    <w:rsid w:val="00F36545"/>
    <w:rsid w:val="00F36C42"/>
    <w:rsid w:val="00F40C5E"/>
    <w:rsid w:val="00F53925"/>
    <w:rsid w:val="00F544C4"/>
    <w:rsid w:val="00F57EDE"/>
    <w:rsid w:val="00F66688"/>
    <w:rsid w:val="00F724DA"/>
    <w:rsid w:val="00F75BF0"/>
    <w:rsid w:val="00F75DFE"/>
    <w:rsid w:val="00F7701A"/>
    <w:rsid w:val="00F8221E"/>
    <w:rsid w:val="00F86E8F"/>
    <w:rsid w:val="00F91FD3"/>
    <w:rsid w:val="00FA10E4"/>
    <w:rsid w:val="00FA460E"/>
    <w:rsid w:val="00FA5085"/>
    <w:rsid w:val="00FB0BB6"/>
    <w:rsid w:val="00FB0F2D"/>
    <w:rsid w:val="00FB35E3"/>
    <w:rsid w:val="00FC3B1A"/>
    <w:rsid w:val="00FC58DD"/>
    <w:rsid w:val="00FD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6B3F6B"/>
  <w15:chartTrackingRefBased/>
  <w15:docId w15:val="{F1BC6C14-6D79-4FF1-A1F6-5EB5745B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157"/>
    <w:pPr>
      <w:suppressAutoHyphens/>
      <w:spacing w:after="120" w:line="276" w:lineRule="auto"/>
      <w:ind w:left="1701"/>
      <w:jc w:val="both"/>
    </w:pPr>
    <w:rPr>
      <w:rFonts w:ascii="Trebuchet MS" w:eastAsia="MS Mincho" w:hAnsi="Trebuchet MS"/>
      <w:kern w:val="1"/>
      <w:sz w:val="22"/>
      <w:szCs w:val="22"/>
      <w:lang w:eastAsia="ar-SA"/>
    </w:rPr>
  </w:style>
  <w:style w:type="paragraph" w:styleId="Heading1">
    <w:name w:val="heading 1"/>
    <w:basedOn w:val="Normal"/>
    <w:next w:val="BodyText"/>
    <w:uiPriority w:val="9"/>
    <w:qFormat/>
    <w:pPr>
      <w:keepNext/>
      <w:numPr>
        <w:numId w:val="1"/>
      </w:numPr>
      <w:spacing w:before="240" w:after="240" w:line="100" w:lineRule="atLeast"/>
      <w:jc w:val="left"/>
      <w:outlineLvl w:val="0"/>
    </w:pPr>
    <w:rPr>
      <w:rFonts w:ascii="Arial" w:eastAsia="Times New Roman" w:hAnsi="Arial" w:cs="Arial"/>
      <w:b/>
      <w:bCs/>
      <w:sz w:val="28"/>
      <w:szCs w:val="24"/>
      <w:lang w:val="en-GB"/>
    </w:rPr>
  </w:style>
  <w:style w:type="paragraph" w:styleId="Heading2">
    <w:name w:val="heading 2"/>
    <w:aliases w:val="Nadpis_2,AB,Numbered - 2,Sub Heading,ignorer2,Heading 2 Char1,Heading 2 Char Char"/>
    <w:basedOn w:val="Normal"/>
    <w:next w:val="BodyText"/>
    <w:uiPriority w:val="9"/>
    <w:qFormat/>
    <w:pPr>
      <w:keepNext/>
      <w:numPr>
        <w:ilvl w:val="1"/>
        <w:numId w:val="1"/>
      </w:numPr>
      <w:spacing w:before="120" w:line="100" w:lineRule="atLeast"/>
      <w:jc w:val="left"/>
      <w:outlineLvl w:val="1"/>
    </w:pPr>
    <w:rPr>
      <w:rFonts w:ascii="Arial" w:eastAsia="Times New Roman" w:hAnsi="Arial" w:cs="Arial"/>
      <w:b/>
      <w:bCs/>
      <w:sz w:val="24"/>
      <w:szCs w:val="24"/>
      <w:lang w:val="en-GB"/>
    </w:rPr>
  </w:style>
  <w:style w:type="paragraph" w:styleId="Heading3">
    <w:name w:val="heading 3"/>
    <w:aliases w:val="Podpodkapitola,adpis 3,KopCat. 3,Numbered - 3"/>
    <w:basedOn w:val="Normal"/>
    <w:next w:val="BodyText"/>
    <w:qFormat/>
    <w:pPr>
      <w:keepNext/>
      <w:numPr>
        <w:ilvl w:val="2"/>
        <w:numId w:val="1"/>
      </w:numPr>
      <w:spacing w:before="120" w:line="100" w:lineRule="atLeast"/>
      <w:jc w:val="left"/>
      <w:outlineLvl w:val="2"/>
    </w:pPr>
    <w:rPr>
      <w:rFonts w:ascii="TimesRomanR" w:eastAsia="Times New Roman" w:hAnsi="TimesRomanR" w:cs="TimesRomanR"/>
      <w:b/>
      <w:bCs/>
      <w:szCs w:val="28"/>
      <w:lang w:val="en-GB"/>
    </w:rPr>
  </w:style>
  <w:style w:type="paragraph" w:styleId="Heading4">
    <w:name w:val="heading 4"/>
    <w:basedOn w:val="Normal"/>
    <w:next w:val="BodyText"/>
    <w:qFormat/>
    <w:pPr>
      <w:keepNext/>
      <w:numPr>
        <w:ilvl w:val="3"/>
        <w:numId w:val="1"/>
      </w:numPr>
      <w:spacing w:after="0" w:line="100" w:lineRule="atLeast"/>
      <w:jc w:val="left"/>
      <w:outlineLvl w:val="3"/>
    </w:pPr>
    <w:rPr>
      <w:rFonts w:ascii="Times New Roman" w:eastAsia="Times New Roman" w:hAnsi="Times New Roman"/>
      <w:b/>
      <w:bCs/>
      <w:sz w:val="24"/>
      <w:szCs w:val="20"/>
      <w:lang w:val="en-GB"/>
    </w:rPr>
  </w:style>
  <w:style w:type="paragraph" w:styleId="Heading5">
    <w:name w:val="heading 5"/>
    <w:basedOn w:val="Normal"/>
    <w:next w:val="BodyText"/>
    <w:qFormat/>
    <w:pPr>
      <w:keepNext/>
      <w:numPr>
        <w:ilvl w:val="4"/>
        <w:numId w:val="1"/>
      </w:numPr>
      <w:spacing w:after="0" w:line="100" w:lineRule="atLeast"/>
      <w:jc w:val="center"/>
      <w:outlineLvl w:val="4"/>
    </w:pPr>
    <w:rPr>
      <w:rFonts w:ascii="Times New Roman" w:eastAsia="Times New Roman" w:hAnsi="Times New Roman"/>
      <w:b/>
      <w:bCs/>
      <w:sz w:val="28"/>
      <w:szCs w:val="24"/>
    </w:rPr>
  </w:style>
  <w:style w:type="paragraph" w:styleId="Heading6">
    <w:name w:val="heading 6"/>
    <w:basedOn w:val="Normal"/>
    <w:next w:val="BodyText"/>
    <w:qFormat/>
    <w:pPr>
      <w:keepNext/>
      <w:numPr>
        <w:ilvl w:val="5"/>
        <w:numId w:val="1"/>
      </w:numPr>
      <w:spacing w:after="0" w:line="100" w:lineRule="atLeast"/>
      <w:jc w:val="center"/>
      <w:outlineLvl w:val="5"/>
    </w:pPr>
    <w:rPr>
      <w:rFonts w:ascii="TimesRomanR" w:eastAsia="Times New Roman" w:hAnsi="TimesRomanR" w:cs="TimesRomanR"/>
      <w:b/>
      <w:bCs/>
      <w:sz w:val="24"/>
      <w:szCs w:val="20"/>
    </w:rPr>
  </w:style>
  <w:style w:type="paragraph" w:styleId="Heading7">
    <w:name w:val="heading 7"/>
    <w:basedOn w:val="Normal"/>
    <w:next w:val="BodyText"/>
    <w:qFormat/>
    <w:pPr>
      <w:keepNext/>
      <w:numPr>
        <w:ilvl w:val="6"/>
        <w:numId w:val="1"/>
      </w:numPr>
      <w:spacing w:after="0" w:line="100" w:lineRule="atLeast"/>
      <w:outlineLvl w:val="6"/>
    </w:pPr>
    <w:rPr>
      <w:rFonts w:ascii="TimesRomanR" w:eastAsia="Times New Roman" w:hAnsi="TimesRomanR" w:cs="TimesRomanR"/>
      <w:b/>
      <w:bCs/>
      <w:sz w:val="24"/>
      <w:szCs w:val="20"/>
      <w:lang w:val="fr-FR"/>
    </w:rPr>
  </w:style>
  <w:style w:type="paragraph" w:styleId="Heading8">
    <w:name w:val="heading 8"/>
    <w:basedOn w:val="Normal"/>
    <w:next w:val="BodyText"/>
    <w:qFormat/>
    <w:pPr>
      <w:keepNext/>
      <w:numPr>
        <w:ilvl w:val="7"/>
        <w:numId w:val="1"/>
      </w:numPr>
      <w:spacing w:after="0" w:line="100" w:lineRule="atLeast"/>
      <w:jc w:val="left"/>
      <w:outlineLvl w:val="7"/>
    </w:pPr>
    <w:rPr>
      <w:rFonts w:ascii="Garamond" w:eastAsia="Times New Roman" w:hAnsi="Garamond" w:cs="Garamond"/>
      <w:i/>
      <w:iCs/>
      <w:sz w:val="24"/>
      <w:szCs w:val="28"/>
      <w:lang w:val="ro-RO"/>
    </w:rPr>
  </w:style>
  <w:style w:type="paragraph" w:styleId="Heading9">
    <w:name w:val="heading 9"/>
    <w:basedOn w:val="Normal"/>
    <w:next w:val="BodyText"/>
    <w:qFormat/>
    <w:pPr>
      <w:keepNext/>
      <w:numPr>
        <w:ilvl w:val="8"/>
        <w:numId w:val="1"/>
      </w:numPr>
      <w:spacing w:after="0" w:line="100" w:lineRule="atLeast"/>
      <w:jc w:val="center"/>
      <w:outlineLvl w:val="8"/>
    </w:pPr>
    <w:rPr>
      <w:rFonts w:ascii="Times New Roman" w:eastAsia="Times New Roman" w:hAnsi="Times New Roman"/>
      <w:b/>
      <w:bCs/>
      <w:sz w:val="28"/>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i w:val="0"/>
      <w:caps w:val="0"/>
      <w:smallCaps w:val="0"/>
      <w:dstrike/>
      <w:vanish w:val="0"/>
      <w:color w:val="00000A"/>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Pr>
      <w:color w:val="00000A"/>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erChar">
    <w:name w:val="Header Char"/>
    <w:rPr>
      <w:rFonts w:ascii="Trebuchet MS" w:eastAsia="MS Mincho" w:hAnsi="Trebuchet MS" w:cs="Times New Roman"/>
      <w:lang w:val="en-US"/>
    </w:rPr>
  </w:style>
  <w:style w:type="character" w:customStyle="1" w:styleId="FooterChar">
    <w:name w:val="Footer Char"/>
    <w:uiPriority w:val="99"/>
    <w:rPr>
      <w:rFonts w:ascii="Trebuchet MS" w:eastAsia="MS Mincho" w:hAnsi="Trebuchet MS" w:cs="Times New Roman"/>
      <w:lang w:val="en-US"/>
    </w:rPr>
  </w:style>
  <w:style w:type="character" w:customStyle="1" w:styleId="BalloonTextChar">
    <w:name w:val="Balloon Text Char"/>
    <w:rPr>
      <w:rFonts w:ascii="Tahoma" w:eastAsia="MS Mincho" w:hAnsi="Tahoma" w:cs="Tahoma"/>
      <w:sz w:val="16"/>
      <w:szCs w:val="16"/>
      <w:lang w:val="en-US"/>
    </w:rPr>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CommentTextChar">
    <w:name w:val="Comment Text Char"/>
    <w:rPr>
      <w:rFonts w:ascii="Times New Roman" w:eastAsia="Times New Roman" w:hAnsi="Times New Roman" w:cs="Times New Roman"/>
      <w:sz w:val="20"/>
      <w:szCs w:val="20"/>
      <w:lang w:val="es-ES"/>
    </w:rPr>
  </w:style>
  <w:style w:type="character" w:customStyle="1" w:styleId="Heading1Char">
    <w:name w:val="Heading 1 Char"/>
    <w:rPr>
      <w:rFonts w:ascii="Arial" w:eastAsia="Times New Roman" w:hAnsi="Arial" w:cs="Times New Roman"/>
      <w:b/>
      <w:bCs/>
      <w:sz w:val="28"/>
      <w:szCs w:val="24"/>
      <w:lang w:val="en-GB"/>
    </w:rPr>
  </w:style>
  <w:style w:type="character" w:customStyle="1" w:styleId="Heading2Char">
    <w:name w:val="Heading 2 Char"/>
    <w:rPr>
      <w:rFonts w:ascii="Arial" w:eastAsia="Times New Roman" w:hAnsi="Arial" w:cs="Times New Roman"/>
      <w:b/>
      <w:bCs/>
      <w:sz w:val="24"/>
      <w:szCs w:val="24"/>
      <w:lang w:val="en-GB"/>
    </w:rPr>
  </w:style>
  <w:style w:type="character" w:customStyle="1" w:styleId="Heading3Char">
    <w:name w:val="Heading 3 Char"/>
    <w:rPr>
      <w:rFonts w:ascii="TimesRomanR" w:eastAsia="Times New Roman" w:hAnsi="TimesRomanR" w:cs="Times New Roman"/>
      <w:b/>
      <w:bCs/>
      <w:szCs w:val="28"/>
      <w:lang w:val="en-GB"/>
    </w:rPr>
  </w:style>
  <w:style w:type="character" w:customStyle="1" w:styleId="Heading4Char">
    <w:name w:val="Heading 4 Char"/>
    <w:rPr>
      <w:rFonts w:ascii="Times New Roman" w:eastAsia="Times New Roman" w:hAnsi="Times New Roman" w:cs="Times New Roman"/>
      <w:b/>
      <w:bCs/>
      <w:sz w:val="24"/>
      <w:szCs w:val="20"/>
      <w:lang w:val="en-GB"/>
    </w:rPr>
  </w:style>
  <w:style w:type="character" w:customStyle="1" w:styleId="Heading5Char">
    <w:name w:val="Heading 5 Char"/>
    <w:rPr>
      <w:rFonts w:ascii="Times New Roman" w:eastAsia="Times New Roman" w:hAnsi="Times New Roman" w:cs="Times New Roman"/>
      <w:b/>
      <w:bCs/>
      <w:sz w:val="28"/>
      <w:szCs w:val="24"/>
      <w:lang w:val="en-US"/>
    </w:rPr>
  </w:style>
  <w:style w:type="character" w:customStyle="1" w:styleId="Heading6Char">
    <w:name w:val="Heading 6 Char"/>
    <w:rPr>
      <w:rFonts w:ascii="TimesRomanR" w:eastAsia="Times New Roman" w:hAnsi="TimesRomanR" w:cs="Times New Roman"/>
      <w:b/>
      <w:bCs/>
      <w:sz w:val="24"/>
      <w:szCs w:val="20"/>
      <w:lang w:val="en-US"/>
    </w:rPr>
  </w:style>
  <w:style w:type="character" w:customStyle="1" w:styleId="Heading7Char">
    <w:name w:val="Heading 7 Char"/>
    <w:rPr>
      <w:rFonts w:ascii="TimesRomanR" w:eastAsia="Times New Roman" w:hAnsi="TimesRomanR" w:cs="Times New Roman"/>
      <w:b/>
      <w:bCs/>
      <w:sz w:val="24"/>
      <w:szCs w:val="20"/>
      <w:lang w:val="fr-FR"/>
    </w:rPr>
  </w:style>
  <w:style w:type="character" w:customStyle="1" w:styleId="Heading8Char">
    <w:name w:val="Heading 8 Char"/>
    <w:rPr>
      <w:rFonts w:ascii="Garamond" w:eastAsia="Times New Roman" w:hAnsi="Garamond" w:cs="Times New Roman"/>
      <w:i/>
      <w:iCs/>
      <w:sz w:val="24"/>
      <w:szCs w:val="28"/>
    </w:rPr>
  </w:style>
  <w:style w:type="character" w:customStyle="1" w:styleId="Heading9Char">
    <w:name w:val="Heading 9 Char"/>
    <w:rPr>
      <w:rFonts w:ascii="Times New Roman" w:eastAsia="Times New Roman" w:hAnsi="Times New Roman" w:cs="Times New Roman"/>
      <w:b/>
      <w:bCs/>
      <w:sz w:val="28"/>
      <w:szCs w:val="24"/>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MS Mincho" w:cs="Calibri"/>
    </w:rPr>
  </w:style>
  <w:style w:type="character" w:customStyle="1" w:styleId="ListLabel4">
    <w:name w:val="ListLabel 4"/>
    <w:rPr>
      <w:rFonts w:eastAsia="MS Mincho" w:cs="Times New Roman"/>
    </w:rPr>
  </w:style>
  <w:style w:type="character" w:customStyle="1" w:styleId="ListLabel5">
    <w:name w:val="ListLabel 5"/>
    <w:rPr>
      <w:rFonts w:cs="Symbol"/>
      <w:sz w:val="26"/>
      <w:szCs w:val="26"/>
      <w:lang w:val="ro-RO"/>
    </w:rPr>
  </w:style>
  <w:style w:type="character" w:customStyle="1" w:styleId="ListLabel6">
    <w:name w:val="ListLabel 6"/>
    <w:rPr>
      <w:b/>
      <w:i w:val="0"/>
      <w:caps w:val="0"/>
      <w:smallCaps w:val="0"/>
      <w:dstrike/>
      <w:vanish w:val="0"/>
      <w:color w:val="00000A"/>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Pr>
      <w:color w:val="00000A"/>
      <w:sz w:val="22"/>
      <w:szCs w:val="22"/>
    </w:rPr>
  </w:style>
  <w:style w:type="character" w:customStyle="1" w:styleId="ListLabel8">
    <w:name w:val="ListLabel 8"/>
    <w:rPr>
      <w:b/>
      <w:i w:val="0"/>
      <w:caps w:val="0"/>
      <w:smallCaps w:val="0"/>
      <w:dstrike/>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Normal"/>
    <w:next w:val="BodyText"/>
    <w:pPr>
      <w:keepNext/>
      <w:spacing w:before="240"/>
    </w:pPr>
    <w:rPr>
      <w:rFonts w:ascii="Arial" w:eastAsia="Microsoft YaHei" w:hAnsi="Arial" w:cs="Mangal"/>
      <w:sz w:val="28"/>
      <w:szCs w:val="28"/>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1"/>
    <w:uiPriority w:val="99"/>
    <w:pPr>
      <w:suppressLineNumbers/>
      <w:tabs>
        <w:tab w:val="center" w:pos="4320"/>
        <w:tab w:val="right" w:pos="8640"/>
      </w:tabs>
    </w:pPr>
  </w:style>
  <w:style w:type="paragraph" w:styleId="Footer">
    <w:name w:val="footer"/>
    <w:basedOn w:val="Normal"/>
    <w:uiPriority w:val="99"/>
    <w:pPr>
      <w:suppressLineNumbers/>
      <w:tabs>
        <w:tab w:val="center" w:pos="4320"/>
        <w:tab w:val="right" w:pos="8640"/>
      </w:tabs>
    </w:pPr>
  </w:style>
  <w:style w:type="paragraph" w:customStyle="1" w:styleId="MediumGrid21">
    <w:name w:val="Medium Grid 21"/>
    <w:pPr>
      <w:suppressAutoHyphens/>
      <w:spacing w:line="100" w:lineRule="atLeast"/>
    </w:pPr>
    <w:rPr>
      <w:rFonts w:ascii="Trebuchet MS" w:eastAsia="MS Mincho" w:hAnsi="Trebuchet MS"/>
      <w:kern w:val="1"/>
      <w:sz w:val="18"/>
      <w:szCs w:val="18"/>
      <w:lang w:eastAsia="ar-SA"/>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pPr>
      <w:ind w:left="720"/>
    </w:pPr>
  </w:style>
  <w:style w:type="paragraph" w:customStyle="1" w:styleId="CommentText1">
    <w:name w:val="Comment Text1"/>
    <w:basedOn w:val="Normal"/>
    <w:pPr>
      <w:spacing w:after="0" w:line="100" w:lineRule="atLeast"/>
      <w:ind w:left="0"/>
      <w:jc w:val="left"/>
    </w:pPr>
    <w:rPr>
      <w:rFonts w:ascii="Times New Roman" w:eastAsia="Times New Roman" w:hAnsi="Times New Roman"/>
      <w:sz w:val="20"/>
      <w:szCs w:val="20"/>
      <w:lang w:val="es-ES"/>
    </w:rPr>
  </w:style>
  <w:style w:type="paragraph" w:customStyle="1" w:styleId="chtitle">
    <w:name w:val="ch_title"/>
    <w:basedOn w:val="Normal"/>
    <w:pPr>
      <w:spacing w:before="28" w:after="100" w:line="100" w:lineRule="atLeast"/>
      <w:ind w:left="0"/>
      <w:jc w:val="left"/>
    </w:pPr>
    <w:rPr>
      <w:rFonts w:ascii="Times New Roman" w:eastAsia="Times New Roman" w:hAnsi="Times New Roman"/>
      <w:sz w:val="24"/>
      <w:szCs w:val="24"/>
    </w:rPr>
  </w:style>
  <w:style w:type="paragraph" w:customStyle="1" w:styleId="chspec">
    <w:name w:val="ch_spec"/>
    <w:basedOn w:val="Normal"/>
    <w:pPr>
      <w:spacing w:before="28" w:after="100" w:line="100" w:lineRule="atLeast"/>
      <w:ind w:left="0"/>
      <w:jc w:val="left"/>
    </w:pPr>
    <w:rPr>
      <w:rFonts w:ascii="Times New Roman" w:eastAsia="Times New Roman" w:hAnsi="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72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92303"/>
    <w:pPr>
      <w:autoSpaceDN w:val="0"/>
      <w:spacing w:before="100" w:after="100" w:line="240" w:lineRule="auto"/>
      <w:ind w:left="0"/>
      <w:jc w:val="left"/>
      <w:textAlignment w:val="baseline"/>
    </w:pPr>
    <w:rPr>
      <w:rFonts w:ascii="Times New Roman" w:eastAsia="Times New Roman" w:hAnsi="Times New Roman"/>
      <w:kern w:val="0"/>
      <w:sz w:val="24"/>
      <w:szCs w:val="24"/>
      <w:lang w:val="ro-RO" w:eastAsia="ro-RO"/>
    </w:rPr>
  </w:style>
  <w:style w:type="paragraph" w:customStyle="1" w:styleId="MediumGrid22">
    <w:name w:val="Medium Grid 22"/>
    <w:uiPriority w:val="1"/>
    <w:qFormat/>
    <w:rsid w:val="00453E94"/>
    <w:pPr>
      <w:suppressAutoHyphens/>
    </w:pPr>
    <w:rPr>
      <w:kern w:val="1"/>
      <w:sz w:val="24"/>
      <w:szCs w:val="24"/>
      <w:lang w:eastAsia="ar-SA"/>
    </w:rPr>
  </w:style>
  <w:style w:type="character" w:customStyle="1" w:styleId="HeaderChar1">
    <w:name w:val="Header Char1"/>
    <w:link w:val="Header"/>
    <w:uiPriority w:val="99"/>
    <w:rsid w:val="0017338F"/>
    <w:rPr>
      <w:rFonts w:ascii="Trebuchet MS" w:eastAsia="MS Mincho" w:hAnsi="Trebuchet MS"/>
      <w:kern w:val="1"/>
      <w:sz w:val="22"/>
      <w:szCs w:val="22"/>
      <w:lang w:eastAsia="ar-SA"/>
    </w:rPr>
  </w:style>
  <w:style w:type="paragraph" w:customStyle="1" w:styleId="Default">
    <w:name w:val="Default"/>
    <w:rsid w:val="00DE3CCD"/>
    <w:pPr>
      <w:autoSpaceDE w:val="0"/>
      <w:autoSpaceDN w:val="0"/>
      <w:adjustRightInd w:val="0"/>
    </w:pPr>
    <w:rPr>
      <w:color w:val="000000"/>
      <w:sz w:val="24"/>
      <w:szCs w:val="24"/>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AD2AE5"/>
    <w:rPr>
      <w:rFonts w:ascii="Trebuchet MS" w:eastAsia="MS Mincho" w:hAnsi="Trebuchet MS"/>
      <w:kern w:val="1"/>
      <w:sz w:val="22"/>
      <w:szCs w:val="22"/>
      <w:lang w:eastAsia="ar-SA"/>
    </w:rPr>
  </w:style>
  <w:style w:type="paragraph" w:styleId="FootnoteText">
    <w:name w:val="footnote text"/>
    <w:basedOn w:val="Normal"/>
    <w:link w:val="FootnoteTextChar"/>
    <w:uiPriority w:val="99"/>
    <w:semiHidden/>
    <w:unhideWhenUsed/>
    <w:rsid w:val="00AD2AE5"/>
    <w:pPr>
      <w:suppressAutoHyphens w:val="0"/>
      <w:spacing w:after="0" w:line="240" w:lineRule="auto"/>
      <w:ind w:left="0"/>
      <w:jc w:val="left"/>
    </w:pPr>
    <w:rPr>
      <w:rFonts w:eastAsia="Trebuchet MS" w:cs="Trebuchet MS"/>
      <w:kern w:val="0"/>
      <w:sz w:val="20"/>
      <w:szCs w:val="20"/>
      <w:lang w:val="ro-RO" w:eastAsia="ro-RO"/>
    </w:rPr>
  </w:style>
  <w:style w:type="character" w:customStyle="1" w:styleId="FootnoteTextChar">
    <w:name w:val="Footnote Text Char"/>
    <w:link w:val="FootnoteText"/>
    <w:uiPriority w:val="99"/>
    <w:semiHidden/>
    <w:rsid w:val="00AD2AE5"/>
    <w:rPr>
      <w:rFonts w:ascii="Trebuchet MS" w:eastAsia="Trebuchet MS" w:hAnsi="Trebuchet MS" w:cs="Trebuchet MS"/>
      <w:lang w:val="ro-RO" w:eastAsia="ro-RO"/>
    </w:rPr>
  </w:style>
  <w:style w:type="character" w:styleId="FootnoteReference">
    <w:name w:val="footnote reference"/>
    <w:uiPriority w:val="99"/>
    <w:semiHidden/>
    <w:unhideWhenUsed/>
    <w:rsid w:val="00AD2AE5"/>
    <w:rPr>
      <w:vertAlign w:val="superscript"/>
    </w:rPr>
  </w:style>
  <w:style w:type="paragraph" w:styleId="NoSpacing">
    <w:name w:val="No Spacing"/>
    <w:uiPriority w:val="1"/>
    <w:qFormat/>
    <w:rsid w:val="00CB1DE1"/>
    <w:rPr>
      <w:rFonts w:ascii="Calibri" w:eastAsia="Trebuchet MS" w:hAnsi="Calibri" w:cs="Trebuchet MS"/>
      <w:sz w:val="24"/>
      <w:lang w:val="ro-RO" w:eastAsia="ro-RO"/>
    </w:rPr>
  </w:style>
  <w:style w:type="paragraph" w:styleId="EndnoteText">
    <w:name w:val="endnote text"/>
    <w:basedOn w:val="Normal"/>
    <w:link w:val="EndnoteTextChar"/>
    <w:uiPriority w:val="99"/>
    <w:semiHidden/>
    <w:unhideWhenUsed/>
    <w:rsid w:val="008F24A4"/>
    <w:rPr>
      <w:sz w:val="20"/>
      <w:szCs w:val="20"/>
    </w:rPr>
  </w:style>
  <w:style w:type="character" w:customStyle="1" w:styleId="EndnoteTextChar">
    <w:name w:val="Endnote Text Char"/>
    <w:link w:val="EndnoteText"/>
    <w:uiPriority w:val="99"/>
    <w:semiHidden/>
    <w:rsid w:val="008F24A4"/>
    <w:rPr>
      <w:rFonts w:ascii="Trebuchet MS" w:eastAsia="MS Mincho" w:hAnsi="Trebuchet MS"/>
      <w:kern w:val="1"/>
      <w:lang w:eastAsia="ar-SA"/>
    </w:rPr>
  </w:style>
  <w:style w:type="character" w:styleId="EndnoteReference">
    <w:name w:val="endnote reference"/>
    <w:uiPriority w:val="99"/>
    <w:semiHidden/>
    <w:unhideWhenUsed/>
    <w:rsid w:val="008F24A4"/>
    <w:rPr>
      <w:vertAlign w:val="superscript"/>
    </w:rPr>
  </w:style>
  <w:style w:type="paragraph" w:styleId="Revision">
    <w:name w:val="Revision"/>
    <w:hidden/>
    <w:uiPriority w:val="99"/>
    <w:semiHidden/>
    <w:rsid w:val="00F7701A"/>
    <w:rPr>
      <w:rFonts w:ascii="Trebuchet MS" w:eastAsia="MS Mincho" w:hAnsi="Trebuchet MS"/>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171">
      <w:bodyDiv w:val="1"/>
      <w:marLeft w:val="0"/>
      <w:marRight w:val="0"/>
      <w:marTop w:val="0"/>
      <w:marBottom w:val="0"/>
      <w:divBdr>
        <w:top w:val="none" w:sz="0" w:space="0" w:color="auto"/>
        <w:left w:val="none" w:sz="0" w:space="0" w:color="auto"/>
        <w:bottom w:val="none" w:sz="0" w:space="0" w:color="auto"/>
        <w:right w:val="none" w:sz="0" w:space="0" w:color="auto"/>
      </w:divBdr>
    </w:div>
    <w:div w:id="159126819">
      <w:bodyDiv w:val="1"/>
      <w:marLeft w:val="0"/>
      <w:marRight w:val="0"/>
      <w:marTop w:val="0"/>
      <w:marBottom w:val="0"/>
      <w:divBdr>
        <w:top w:val="none" w:sz="0" w:space="0" w:color="auto"/>
        <w:left w:val="none" w:sz="0" w:space="0" w:color="auto"/>
        <w:bottom w:val="none" w:sz="0" w:space="0" w:color="auto"/>
        <w:right w:val="none" w:sz="0" w:space="0" w:color="auto"/>
      </w:divBdr>
    </w:div>
    <w:div w:id="347491942">
      <w:bodyDiv w:val="1"/>
      <w:marLeft w:val="0"/>
      <w:marRight w:val="0"/>
      <w:marTop w:val="0"/>
      <w:marBottom w:val="0"/>
      <w:divBdr>
        <w:top w:val="none" w:sz="0" w:space="0" w:color="auto"/>
        <w:left w:val="none" w:sz="0" w:space="0" w:color="auto"/>
        <w:bottom w:val="none" w:sz="0" w:space="0" w:color="auto"/>
        <w:right w:val="none" w:sz="0" w:space="0" w:color="auto"/>
      </w:divBdr>
    </w:div>
    <w:div w:id="703479590">
      <w:bodyDiv w:val="1"/>
      <w:marLeft w:val="0"/>
      <w:marRight w:val="0"/>
      <w:marTop w:val="0"/>
      <w:marBottom w:val="0"/>
      <w:divBdr>
        <w:top w:val="none" w:sz="0" w:space="0" w:color="auto"/>
        <w:left w:val="none" w:sz="0" w:space="0" w:color="auto"/>
        <w:bottom w:val="none" w:sz="0" w:space="0" w:color="auto"/>
        <w:right w:val="none" w:sz="0" w:space="0" w:color="auto"/>
      </w:divBdr>
    </w:div>
    <w:div w:id="740493416">
      <w:bodyDiv w:val="1"/>
      <w:marLeft w:val="0"/>
      <w:marRight w:val="0"/>
      <w:marTop w:val="0"/>
      <w:marBottom w:val="0"/>
      <w:divBdr>
        <w:top w:val="none" w:sz="0" w:space="0" w:color="auto"/>
        <w:left w:val="none" w:sz="0" w:space="0" w:color="auto"/>
        <w:bottom w:val="none" w:sz="0" w:space="0" w:color="auto"/>
        <w:right w:val="none" w:sz="0" w:space="0" w:color="auto"/>
      </w:divBdr>
    </w:div>
    <w:div w:id="849372367">
      <w:bodyDiv w:val="1"/>
      <w:marLeft w:val="0"/>
      <w:marRight w:val="0"/>
      <w:marTop w:val="0"/>
      <w:marBottom w:val="0"/>
      <w:divBdr>
        <w:top w:val="none" w:sz="0" w:space="0" w:color="auto"/>
        <w:left w:val="none" w:sz="0" w:space="0" w:color="auto"/>
        <w:bottom w:val="none" w:sz="0" w:space="0" w:color="auto"/>
        <w:right w:val="none" w:sz="0" w:space="0" w:color="auto"/>
      </w:divBdr>
    </w:div>
    <w:div w:id="934097997">
      <w:bodyDiv w:val="1"/>
      <w:marLeft w:val="0"/>
      <w:marRight w:val="0"/>
      <w:marTop w:val="0"/>
      <w:marBottom w:val="0"/>
      <w:divBdr>
        <w:top w:val="none" w:sz="0" w:space="0" w:color="auto"/>
        <w:left w:val="none" w:sz="0" w:space="0" w:color="auto"/>
        <w:bottom w:val="none" w:sz="0" w:space="0" w:color="auto"/>
        <w:right w:val="none" w:sz="0" w:space="0" w:color="auto"/>
      </w:divBdr>
    </w:div>
    <w:div w:id="1140612448">
      <w:bodyDiv w:val="1"/>
      <w:marLeft w:val="0"/>
      <w:marRight w:val="0"/>
      <w:marTop w:val="0"/>
      <w:marBottom w:val="0"/>
      <w:divBdr>
        <w:top w:val="none" w:sz="0" w:space="0" w:color="auto"/>
        <w:left w:val="none" w:sz="0" w:space="0" w:color="auto"/>
        <w:bottom w:val="none" w:sz="0" w:space="0" w:color="auto"/>
        <w:right w:val="none" w:sz="0" w:space="0" w:color="auto"/>
      </w:divBdr>
    </w:div>
    <w:div w:id="1151218422">
      <w:bodyDiv w:val="1"/>
      <w:marLeft w:val="0"/>
      <w:marRight w:val="0"/>
      <w:marTop w:val="0"/>
      <w:marBottom w:val="0"/>
      <w:divBdr>
        <w:top w:val="none" w:sz="0" w:space="0" w:color="auto"/>
        <w:left w:val="none" w:sz="0" w:space="0" w:color="auto"/>
        <w:bottom w:val="none" w:sz="0" w:space="0" w:color="auto"/>
        <w:right w:val="none" w:sz="0" w:space="0" w:color="auto"/>
      </w:divBdr>
    </w:div>
    <w:div w:id="1182204502">
      <w:bodyDiv w:val="1"/>
      <w:marLeft w:val="0"/>
      <w:marRight w:val="0"/>
      <w:marTop w:val="0"/>
      <w:marBottom w:val="0"/>
      <w:divBdr>
        <w:top w:val="none" w:sz="0" w:space="0" w:color="auto"/>
        <w:left w:val="none" w:sz="0" w:space="0" w:color="auto"/>
        <w:bottom w:val="none" w:sz="0" w:space="0" w:color="auto"/>
        <w:right w:val="none" w:sz="0" w:space="0" w:color="auto"/>
      </w:divBdr>
    </w:div>
    <w:div w:id="1275795142">
      <w:bodyDiv w:val="1"/>
      <w:marLeft w:val="0"/>
      <w:marRight w:val="0"/>
      <w:marTop w:val="0"/>
      <w:marBottom w:val="0"/>
      <w:divBdr>
        <w:top w:val="none" w:sz="0" w:space="0" w:color="auto"/>
        <w:left w:val="none" w:sz="0" w:space="0" w:color="auto"/>
        <w:bottom w:val="none" w:sz="0" w:space="0" w:color="auto"/>
        <w:right w:val="none" w:sz="0" w:space="0" w:color="auto"/>
      </w:divBdr>
    </w:div>
    <w:div w:id="1430352087">
      <w:bodyDiv w:val="1"/>
      <w:marLeft w:val="0"/>
      <w:marRight w:val="0"/>
      <w:marTop w:val="0"/>
      <w:marBottom w:val="0"/>
      <w:divBdr>
        <w:top w:val="none" w:sz="0" w:space="0" w:color="auto"/>
        <w:left w:val="none" w:sz="0" w:space="0" w:color="auto"/>
        <w:bottom w:val="none" w:sz="0" w:space="0" w:color="auto"/>
        <w:right w:val="none" w:sz="0" w:space="0" w:color="auto"/>
      </w:divBdr>
    </w:div>
    <w:div w:id="1653556746">
      <w:bodyDiv w:val="1"/>
      <w:marLeft w:val="0"/>
      <w:marRight w:val="0"/>
      <w:marTop w:val="0"/>
      <w:marBottom w:val="0"/>
      <w:divBdr>
        <w:top w:val="none" w:sz="0" w:space="0" w:color="auto"/>
        <w:left w:val="none" w:sz="0" w:space="0" w:color="auto"/>
        <w:bottom w:val="none" w:sz="0" w:space="0" w:color="auto"/>
        <w:right w:val="none" w:sz="0" w:space="0" w:color="auto"/>
      </w:divBdr>
    </w:div>
    <w:div w:id="1655570801">
      <w:bodyDiv w:val="1"/>
      <w:marLeft w:val="0"/>
      <w:marRight w:val="0"/>
      <w:marTop w:val="0"/>
      <w:marBottom w:val="0"/>
      <w:divBdr>
        <w:top w:val="none" w:sz="0" w:space="0" w:color="auto"/>
        <w:left w:val="none" w:sz="0" w:space="0" w:color="auto"/>
        <w:bottom w:val="none" w:sz="0" w:space="0" w:color="auto"/>
        <w:right w:val="none" w:sz="0" w:space="0" w:color="auto"/>
      </w:divBdr>
    </w:div>
    <w:div w:id="1923487201">
      <w:bodyDiv w:val="1"/>
      <w:marLeft w:val="0"/>
      <w:marRight w:val="0"/>
      <w:marTop w:val="0"/>
      <w:marBottom w:val="0"/>
      <w:divBdr>
        <w:top w:val="none" w:sz="0" w:space="0" w:color="auto"/>
        <w:left w:val="none" w:sz="0" w:space="0" w:color="auto"/>
        <w:bottom w:val="none" w:sz="0" w:space="0" w:color="auto"/>
        <w:right w:val="none" w:sz="0" w:space="0" w:color="auto"/>
      </w:divBdr>
    </w:div>
    <w:div w:id="20943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pnrr.mmap.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6830</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7992</CharactersWithSpaces>
  <SharedDoc>false</SharedDoc>
  <HLinks>
    <vt:vector size="6" baseType="variant">
      <vt:variant>
        <vt:i4>4653144</vt:i4>
      </vt:variant>
      <vt:variant>
        <vt:i4>0</vt:i4>
      </vt:variant>
      <vt:variant>
        <vt:i4>0</vt:i4>
      </vt:variant>
      <vt:variant>
        <vt:i4>5</vt:i4>
      </vt:variant>
      <vt:variant>
        <vt:lpwstr>http://pnrr.mmap.ro/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Tinta</dc:creator>
  <cp:keywords/>
  <cp:lastModifiedBy>Adrian STEFANESCU</cp:lastModifiedBy>
  <cp:revision>2</cp:revision>
  <cp:lastPrinted>2023-11-10T06:24:00Z</cp:lastPrinted>
  <dcterms:created xsi:type="dcterms:W3CDTF">2023-11-22T06:50:00Z</dcterms:created>
  <dcterms:modified xsi:type="dcterms:W3CDTF">2023-11-22T06:50:00Z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